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5834" w14:textId="4B9AFA2B" w:rsidR="001B76A4" w:rsidRPr="00D82E75" w:rsidRDefault="001B76A4" w:rsidP="00B65674">
      <w:pPr>
        <w:jc w:val="center"/>
        <w:rPr>
          <w:rFonts w:ascii="Times New Roman" w:hAnsi="Times New Roman" w:cs="Times New Roman"/>
          <w:b/>
          <w:bCs/>
          <w:lang w:val="en-US"/>
        </w:rPr>
      </w:pPr>
      <w:r w:rsidRPr="00D82E75">
        <w:rPr>
          <w:rFonts w:ascii="Times New Roman" w:hAnsi="Times New Roman" w:cs="Times New Roman"/>
          <w:b/>
          <w:bCs/>
          <w:lang w:val="en-US"/>
        </w:rPr>
        <w:t>Public consultation on the time granularity for the nomination of Physical Transmission Rights (PTRs)</w:t>
      </w:r>
      <w:r w:rsidR="00786D09" w:rsidRPr="00D82E75">
        <w:rPr>
          <w:rFonts w:ascii="Times New Roman" w:hAnsi="Times New Roman" w:cs="Times New Roman"/>
          <w:b/>
          <w:bCs/>
          <w:lang w:val="en-US"/>
        </w:rPr>
        <w:t xml:space="preserve"> and the design of </w:t>
      </w:r>
      <w:r w:rsidR="00F62A1F" w:rsidRPr="00D82E75">
        <w:rPr>
          <w:rFonts w:ascii="Times New Roman" w:hAnsi="Times New Roman" w:cs="Times New Roman"/>
          <w:b/>
          <w:bCs/>
          <w:lang w:val="en-US"/>
        </w:rPr>
        <w:t>l</w:t>
      </w:r>
      <w:r w:rsidR="00786D09" w:rsidRPr="00D82E75">
        <w:rPr>
          <w:rFonts w:ascii="Times New Roman" w:hAnsi="Times New Roman" w:cs="Times New Roman"/>
          <w:b/>
          <w:bCs/>
          <w:lang w:val="en-US"/>
        </w:rPr>
        <w:t xml:space="preserve">ong-term </w:t>
      </w:r>
      <w:r w:rsidR="00F62A1F" w:rsidRPr="00D82E75">
        <w:rPr>
          <w:rFonts w:ascii="Times New Roman" w:hAnsi="Times New Roman" w:cs="Times New Roman"/>
          <w:b/>
          <w:bCs/>
          <w:lang w:val="en-US"/>
        </w:rPr>
        <w:t>t</w:t>
      </w:r>
      <w:r w:rsidR="00786D09" w:rsidRPr="00D82E75">
        <w:rPr>
          <w:rFonts w:ascii="Times New Roman" w:hAnsi="Times New Roman" w:cs="Times New Roman"/>
          <w:b/>
          <w:bCs/>
          <w:lang w:val="en-US"/>
        </w:rPr>
        <w:t xml:space="preserve">ransmission </w:t>
      </w:r>
      <w:r w:rsidR="00F62A1F" w:rsidRPr="00D82E75">
        <w:rPr>
          <w:rFonts w:ascii="Times New Roman" w:hAnsi="Times New Roman" w:cs="Times New Roman"/>
          <w:b/>
          <w:bCs/>
          <w:lang w:val="en-US"/>
        </w:rPr>
        <w:t>r</w:t>
      </w:r>
      <w:r w:rsidR="00786D09" w:rsidRPr="00D82E75">
        <w:rPr>
          <w:rFonts w:ascii="Times New Roman" w:hAnsi="Times New Roman" w:cs="Times New Roman"/>
          <w:b/>
          <w:bCs/>
          <w:lang w:val="en-US"/>
        </w:rPr>
        <w:t>ights</w:t>
      </w:r>
    </w:p>
    <w:p w14:paraId="122E0133" w14:textId="7D7F6458" w:rsidR="318E27D0" w:rsidRPr="00D82E75" w:rsidRDefault="318E27D0" w:rsidP="318E27D0">
      <w:pPr>
        <w:jc w:val="both"/>
        <w:rPr>
          <w:rFonts w:ascii="Times New Roman" w:hAnsi="Times New Roman" w:cs="Times New Roman"/>
          <w:lang w:val="en-US"/>
        </w:rPr>
      </w:pPr>
    </w:p>
    <w:p w14:paraId="53502EBE" w14:textId="73C43418" w:rsidR="26B52296" w:rsidRPr="00D82E75" w:rsidRDefault="26B52296" w:rsidP="00B65674">
      <w:pPr>
        <w:pStyle w:val="a6"/>
        <w:numPr>
          <w:ilvl w:val="0"/>
          <w:numId w:val="7"/>
        </w:numPr>
        <w:jc w:val="both"/>
        <w:rPr>
          <w:rFonts w:ascii="Times New Roman" w:hAnsi="Times New Roman" w:cs="Times New Roman"/>
          <w:b/>
          <w:bCs/>
          <w:lang w:val="en-US"/>
        </w:rPr>
      </w:pPr>
      <w:r w:rsidRPr="00D82E75">
        <w:rPr>
          <w:rFonts w:ascii="Times New Roman" w:hAnsi="Times New Roman" w:cs="Times New Roman"/>
          <w:b/>
          <w:bCs/>
          <w:lang w:val="en-US"/>
        </w:rPr>
        <w:t>Introduction</w:t>
      </w:r>
    </w:p>
    <w:p w14:paraId="7226F27A" w14:textId="0ABBAA1F" w:rsidR="00E6557F" w:rsidRPr="00D82E75" w:rsidRDefault="00E6557F" w:rsidP="00AB2F59">
      <w:pPr>
        <w:jc w:val="both"/>
        <w:rPr>
          <w:rFonts w:ascii="Times New Roman" w:hAnsi="Times New Roman" w:cs="Times New Roman"/>
          <w:lang w:val="en-US"/>
        </w:rPr>
      </w:pPr>
      <w:r w:rsidRPr="00D82E75">
        <w:rPr>
          <w:rFonts w:ascii="Times New Roman" w:hAnsi="Times New Roman" w:cs="Times New Roman"/>
          <w:lang w:val="en-US"/>
        </w:rPr>
        <w:t xml:space="preserve">In accordance with the provisions of Commission Regulation (EU) 2016/1719 on forward capacity allocation (FCA Regulation), the present public consultation aims to collect feedback from market participants on the experience gained so far with </w:t>
      </w:r>
      <w:r w:rsidR="00D34CF8" w:rsidRPr="00D82E75">
        <w:rPr>
          <w:rFonts w:ascii="Times New Roman" w:eastAsia="Aptos" w:hAnsi="Times New Roman" w:cs="Times New Roman"/>
          <w:lang w:val="en-US"/>
        </w:rPr>
        <w:t>long-term transmission rights</w:t>
      </w:r>
      <w:r w:rsidRPr="00D82E75">
        <w:rPr>
          <w:rFonts w:ascii="Times New Roman" w:hAnsi="Times New Roman" w:cs="Times New Roman"/>
          <w:lang w:val="en-US"/>
        </w:rPr>
        <w:t xml:space="preserve"> (LTTRs) </w:t>
      </w:r>
      <w:r w:rsidR="00173BC2" w:rsidRPr="00D82E75">
        <w:rPr>
          <w:rFonts w:ascii="Times New Roman" w:hAnsi="Times New Roman" w:cs="Times New Roman"/>
          <w:lang w:val="en-US"/>
        </w:rPr>
        <w:t>as well as</w:t>
      </w:r>
      <w:r w:rsidRPr="00D82E75">
        <w:rPr>
          <w:rFonts w:ascii="Times New Roman" w:hAnsi="Times New Roman" w:cs="Times New Roman"/>
          <w:lang w:val="en-US"/>
        </w:rPr>
        <w:t xml:space="preserve"> on potential future developments concerning their design and use at the Greek bidding zone borders.</w:t>
      </w:r>
    </w:p>
    <w:p w14:paraId="41804BA1" w14:textId="4AB37D62" w:rsidR="00A41180" w:rsidRPr="00D82E75" w:rsidRDefault="00A41180" w:rsidP="00AB2F59">
      <w:pPr>
        <w:jc w:val="both"/>
        <w:rPr>
          <w:rFonts w:ascii="Times New Roman" w:hAnsi="Times New Roman" w:cs="Times New Roman"/>
          <w:lang w:val="en-US"/>
        </w:rPr>
      </w:pPr>
      <w:r w:rsidRPr="00D82E75">
        <w:rPr>
          <w:rFonts w:ascii="Times New Roman" w:hAnsi="Times New Roman" w:cs="Times New Roman"/>
          <w:lang w:val="en-US"/>
        </w:rPr>
        <w:t xml:space="preserve">Currently, long-term cross-border capacity at the Greece–Italy and Greece–Bulgaria </w:t>
      </w:r>
      <w:r w:rsidR="005B5526" w:rsidRPr="00D82E75">
        <w:rPr>
          <w:rFonts w:ascii="Times New Roman" w:hAnsi="Times New Roman" w:cs="Times New Roman"/>
          <w:lang w:val="en-US"/>
        </w:rPr>
        <w:t>bidding zone borders</w:t>
      </w:r>
      <w:r w:rsidRPr="00D82E75">
        <w:rPr>
          <w:rFonts w:ascii="Times New Roman" w:hAnsi="Times New Roman" w:cs="Times New Roman"/>
          <w:lang w:val="en-US"/>
        </w:rPr>
        <w:t>, within the Greece–Italy Capacity Calculation Region (GRIT CCR) and the Southeast Europe Capacity Calculation Region (SEE CCR) respectively, is allocated in the form of Physical Transmission Rights (PTRs) operating under the “Use It Or Sell It” (UIOSI) principle. At present, hourly time granularity applies to the nomination of these rights.</w:t>
      </w:r>
    </w:p>
    <w:p w14:paraId="2F8BA228" w14:textId="7E1E5D6C" w:rsidR="00A41180" w:rsidRPr="00D82E75" w:rsidRDefault="00A41180" w:rsidP="00AB2F59">
      <w:pPr>
        <w:jc w:val="both"/>
        <w:rPr>
          <w:rFonts w:ascii="Times New Roman" w:hAnsi="Times New Roman" w:cs="Times New Roman"/>
          <w:lang w:val="en-US"/>
        </w:rPr>
      </w:pPr>
      <w:r w:rsidRPr="00D82E75">
        <w:rPr>
          <w:rFonts w:ascii="Times New Roman" w:hAnsi="Times New Roman" w:cs="Times New Roman"/>
          <w:lang w:val="en-US"/>
        </w:rPr>
        <w:t xml:space="preserve">Against this background and in light of recent European regulatory developments affecting long-term capacity allocation and market time </w:t>
      </w:r>
      <w:r w:rsidR="003C39F7" w:rsidRPr="00D82E75">
        <w:rPr>
          <w:rFonts w:ascii="Times New Roman" w:hAnsi="Times New Roman" w:cs="Times New Roman"/>
          <w:lang w:val="en-US"/>
        </w:rPr>
        <w:t>units, RAAEY</w:t>
      </w:r>
      <w:r w:rsidR="00DC7807" w:rsidRPr="00D82E75">
        <w:rPr>
          <w:rFonts w:ascii="Times New Roman" w:hAnsi="Times New Roman" w:cs="Times New Roman"/>
          <w:lang w:val="en-US"/>
        </w:rPr>
        <w:t xml:space="preserve"> has formally requested IPTO to assess the current framework governing long-term cross-border capacity at the Greek bidding zone borders. To this effect, </w:t>
      </w:r>
      <w:r w:rsidRPr="00D82E75">
        <w:rPr>
          <w:rFonts w:ascii="Times New Roman" w:hAnsi="Times New Roman" w:cs="Times New Roman"/>
          <w:lang w:val="en-US"/>
        </w:rPr>
        <w:t xml:space="preserve">IPTO is launching the present public consultation in order to </w:t>
      </w:r>
      <w:r w:rsidR="003C39F7" w:rsidRPr="00D82E75">
        <w:rPr>
          <w:rFonts w:ascii="Times New Roman" w:hAnsi="Times New Roman" w:cs="Times New Roman"/>
          <w:lang w:val="en-US"/>
        </w:rPr>
        <w:t xml:space="preserve">gather market participants’ views </w:t>
      </w:r>
      <w:r w:rsidRPr="00D82E75">
        <w:rPr>
          <w:rFonts w:ascii="Times New Roman" w:hAnsi="Times New Roman" w:cs="Times New Roman"/>
          <w:lang w:val="en-US"/>
        </w:rPr>
        <w:t>and to support its internal technical and regulatory evaluation of possible future options.</w:t>
      </w:r>
    </w:p>
    <w:p w14:paraId="6C0FA326" w14:textId="0975B07C" w:rsidR="5055E7A3" w:rsidRPr="00D82E75" w:rsidRDefault="5055E7A3" w:rsidP="00B65674">
      <w:pPr>
        <w:pStyle w:val="a6"/>
        <w:numPr>
          <w:ilvl w:val="0"/>
          <w:numId w:val="7"/>
        </w:numPr>
        <w:jc w:val="both"/>
        <w:rPr>
          <w:rFonts w:ascii="Times New Roman" w:eastAsia="Aptos" w:hAnsi="Times New Roman" w:cs="Times New Roman"/>
          <w:b/>
          <w:bCs/>
          <w:lang w:val="en-US"/>
        </w:rPr>
      </w:pPr>
      <w:r w:rsidRPr="00D82E75">
        <w:rPr>
          <w:rFonts w:ascii="Times New Roman" w:hAnsi="Times New Roman" w:cs="Times New Roman"/>
          <w:b/>
          <w:bCs/>
          <w:lang w:val="en-US"/>
        </w:rPr>
        <w:t>Definitions</w:t>
      </w:r>
      <w:r w:rsidR="006E60F1" w:rsidRPr="00D82E75">
        <w:rPr>
          <w:rFonts w:ascii="Times New Roman" w:hAnsi="Times New Roman" w:cs="Times New Roman"/>
          <w:b/>
          <w:bCs/>
          <w:lang w:val="en-US"/>
        </w:rPr>
        <w:t xml:space="preserve"> and regulatory context</w:t>
      </w:r>
    </w:p>
    <w:p w14:paraId="3098979A" w14:textId="7D489E58" w:rsidR="6DC0FFA6" w:rsidRPr="00D82E75" w:rsidRDefault="00454F3D" w:rsidP="00013BF9">
      <w:pPr>
        <w:ind w:firstLine="357"/>
        <w:jc w:val="both"/>
        <w:rPr>
          <w:rFonts w:ascii="Times New Roman" w:hAnsi="Times New Roman" w:cs="Times New Roman"/>
          <w:lang w:val="en-US"/>
        </w:rPr>
      </w:pPr>
      <w:r w:rsidRPr="00D82E75">
        <w:rPr>
          <w:rFonts w:ascii="Times New Roman" w:eastAsia="Aptos" w:hAnsi="Times New Roman" w:cs="Times New Roman"/>
          <w:lang w:val="en-US"/>
        </w:rPr>
        <w:t>For the purposes of this consultation, the definitions set out in FCA Regulation apply, including in particular the following:</w:t>
      </w:r>
    </w:p>
    <w:p w14:paraId="43322367" w14:textId="6651625E" w:rsidR="1EDE1846" w:rsidRPr="00D82E75" w:rsidRDefault="1EDE1846" w:rsidP="00B65674">
      <w:pPr>
        <w:pStyle w:val="a6"/>
        <w:numPr>
          <w:ilvl w:val="0"/>
          <w:numId w:val="3"/>
        </w:numPr>
        <w:spacing w:after="120"/>
        <w:ind w:left="714" w:hanging="357"/>
        <w:contextualSpacing w:val="0"/>
        <w:jc w:val="both"/>
        <w:rPr>
          <w:rFonts w:ascii="Times New Roman" w:eastAsia="Aptos" w:hAnsi="Times New Roman" w:cs="Times New Roman"/>
          <w:lang w:val="en-US"/>
        </w:rPr>
      </w:pPr>
      <w:r w:rsidRPr="00D82E75">
        <w:rPr>
          <w:rFonts w:ascii="Times New Roman" w:eastAsia="Aptos" w:hAnsi="Times New Roman" w:cs="Times New Roman"/>
          <w:b/>
          <w:bCs/>
          <w:lang w:val="en-US"/>
        </w:rPr>
        <w:t>“</w:t>
      </w:r>
      <w:r w:rsidR="13DD19A9" w:rsidRPr="00D82E75">
        <w:rPr>
          <w:rFonts w:ascii="Times New Roman" w:eastAsia="Aptos" w:hAnsi="Times New Roman" w:cs="Times New Roman"/>
          <w:b/>
          <w:bCs/>
          <w:lang w:val="en-US"/>
        </w:rPr>
        <w:t>Fo</w:t>
      </w:r>
      <w:r w:rsidRPr="00D82E75">
        <w:rPr>
          <w:rFonts w:ascii="Times New Roman" w:eastAsia="Aptos" w:hAnsi="Times New Roman" w:cs="Times New Roman"/>
          <w:b/>
          <w:bCs/>
          <w:lang w:val="en-US"/>
        </w:rPr>
        <w:t>rward</w:t>
      </w:r>
      <w:r w:rsidR="0CDD41FF" w:rsidRPr="00D82E75">
        <w:rPr>
          <w:rFonts w:ascii="Times New Roman" w:eastAsia="Aptos" w:hAnsi="Times New Roman" w:cs="Times New Roman"/>
          <w:b/>
          <w:bCs/>
          <w:lang w:val="en-US"/>
        </w:rPr>
        <w:t xml:space="preserve"> </w:t>
      </w:r>
      <w:r w:rsidRPr="00D82E75">
        <w:rPr>
          <w:rFonts w:ascii="Times New Roman" w:eastAsia="Aptos" w:hAnsi="Times New Roman" w:cs="Times New Roman"/>
          <w:b/>
          <w:bCs/>
          <w:lang w:val="en-US"/>
        </w:rPr>
        <w:t>capacity allocation”</w:t>
      </w:r>
      <w:r w:rsidRPr="00D82E75">
        <w:rPr>
          <w:rFonts w:ascii="Times New Roman" w:eastAsia="Aptos" w:hAnsi="Times New Roman" w:cs="Times New Roman"/>
          <w:lang w:val="en-US"/>
        </w:rPr>
        <w:t xml:space="preserve"> refers to the attribution of long-term cross-zonal capacity through an auction before the day-ahead time frame.</w:t>
      </w:r>
    </w:p>
    <w:p w14:paraId="777AB0ED" w14:textId="04D640F9" w:rsidR="1EDE1846" w:rsidRPr="00D82E75" w:rsidRDefault="1EDE1846" w:rsidP="00B65674">
      <w:pPr>
        <w:pStyle w:val="a6"/>
        <w:numPr>
          <w:ilvl w:val="0"/>
          <w:numId w:val="3"/>
        </w:numPr>
        <w:spacing w:after="120"/>
        <w:ind w:left="714" w:hanging="357"/>
        <w:contextualSpacing w:val="0"/>
        <w:jc w:val="both"/>
        <w:rPr>
          <w:rFonts w:ascii="Times New Roman" w:eastAsia="Aptos" w:hAnsi="Times New Roman" w:cs="Times New Roman"/>
          <w:lang w:val="en-US"/>
        </w:rPr>
      </w:pPr>
      <w:r w:rsidRPr="00D82E75">
        <w:rPr>
          <w:rFonts w:ascii="Times New Roman" w:eastAsia="Aptos" w:hAnsi="Times New Roman" w:cs="Times New Roman"/>
          <w:b/>
          <w:bCs/>
          <w:lang w:val="en-US"/>
        </w:rPr>
        <w:t>“Long-term transmission right”</w:t>
      </w:r>
      <w:r w:rsidRPr="00D82E75">
        <w:rPr>
          <w:rFonts w:ascii="Times New Roman" w:eastAsia="Aptos" w:hAnsi="Times New Roman" w:cs="Times New Roman"/>
          <w:lang w:val="en-US"/>
        </w:rPr>
        <w:t xml:space="preserve"> means a physical transmission right or a FTR — option or a FTR — obligation acquired in the forward capacity allocation</w:t>
      </w:r>
      <w:r w:rsidR="55C15D92" w:rsidRPr="00D82E75">
        <w:rPr>
          <w:rFonts w:ascii="Times New Roman" w:eastAsia="Aptos" w:hAnsi="Times New Roman" w:cs="Times New Roman"/>
          <w:lang w:val="en-US"/>
        </w:rPr>
        <w:t xml:space="preserve">. </w:t>
      </w:r>
    </w:p>
    <w:p w14:paraId="2679AD88" w14:textId="318C8C4A" w:rsidR="659BEF7A" w:rsidRPr="00D82E75" w:rsidRDefault="659BEF7A" w:rsidP="00B65674">
      <w:pPr>
        <w:pStyle w:val="a6"/>
        <w:numPr>
          <w:ilvl w:val="0"/>
          <w:numId w:val="3"/>
        </w:numPr>
        <w:spacing w:after="120"/>
        <w:ind w:left="714" w:hanging="357"/>
        <w:contextualSpacing w:val="0"/>
        <w:jc w:val="both"/>
        <w:rPr>
          <w:rFonts w:ascii="Times New Roman" w:hAnsi="Times New Roman" w:cs="Times New Roman"/>
          <w:lang w:val="en-US"/>
        </w:rPr>
      </w:pPr>
      <w:r w:rsidRPr="00D82E75">
        <w:rPr>
          <w:rFonts w:ascii="Times New Roman" w:hAnsi="Times New Roman" w:cs="Times New Roman"/>
          <w:b/>
          <w:bCs/>
          <w:lang w:val="en-US"/>
        </w:rPr>
        <w:t>“UIOSI”</w:t>
      </w:r>
      <w:r w:rsidRPr="00D82E75">
        <w:rPr>
          <w:rFonts w:ascii="Times New Roman" w:hAnsi="Times New Roman" w:cs="Times New Roman"/>
          <w:lang w:val="en-US"/>
        </w:rPr>
        <w:t xml:space="preserve"> means the principle according to which the underlying cross-zonal capacity of physical transmission rights purchased and non-nominated is automatically made available for day-ahead capacity allocation and according to which the holder of these physical transmission rights receives remuneration from the TSOs.</w:t>
      </w:r>
    </w:p>
    <w:p w14:paraId="7A26E32B" w14:textId="595245DA" w:rsidR="659BEF7A" w:rsidRPr="00D82E75" w:rsidRDefault="659BEF7A" w:rsidP="00B65674">
      <w:pPr>
        <w:pStyle w:val="a6"/>
        <w:numPr>
          <w:ilvl w:val="0"/>
          <w:numId w:val="3"/>
        </w:numPr>
        <w:spacing w:after="120"/>
        <w:ind w:left="714" w:hanging="357"/>
        <w:contextualSpacing w:val="0"/>
        <w:jc w:val="both"/>
        <w:rPr>
          <w:rFonts w:ascii="Times New Roman" w:eastAsia="Aptos" w:hAnsi="Times New Roman" w:cs="Times New Roman"/>
          <w:lang w:val="en-US"/>
        </w:rPr>
      </w:pPr>
      <w:r w:rsidRPr="00D82E75">
        <w:rPr>
          <w:rFonts w:ascii="Times New Roman" w:eastAsia="Aptos" w:hAnsi="Times New Roman" w:cs="Times New Roman"/>
          <w:b/>
          <w:bCs/>
          <w:lang w:val="en-US"/>
        </w:rPr>
        <w:t>“nomination”</w:t>
      </w:r>
      <w:r w:rsidRPr="00D82E75">
        <w:rPr>
          <w:rFonts w:ascii="Times New Roman" w:eastAsia="Aptos" w:hAnsi="Times New Roman" w:cs="Times New Roman"/>
          <w:lang w:val="en-US"/>
        </w:rPr>
        <w:t xml:space="preserve"> means the notification of the use of long-term cross-zonal capacity by a physical transmission rights holder and its counterparty, or an authorised third party, to the respective TSOs.</w:t>
      </w:r>
    </w:p>
    <w:p w14:paraId="6F864244" w14:textId="017A3A77" w:rsidR="12F2087D" w:rsidRPr="00D82E75" w:rsidRDefault="12F2087D" w:rsidP="00B65674">
      <w:pPr>
        <w:pStyle w:val="a6"/>
        <w:numPr>
          <w:ilvl w:val="0"/>
          <w:numId w:val="3"/>
        </w:numPr>
        <w:spacing w:after="120"/>
        <w:ind w:left="714" w:hanging="357"/>
        <w:contextualSpacing w:val="0"/>
        <w:jc w:val="both"/>
        <w:rPr>
          <w:rFonts w:ascii="Times New Roman" w:hAnsi="Times New Roman" w:cs="Times New Roman"/>
          <w:lang w:val="en-US"/>
        </w:rPr>
      </w:pPr>
      <w:r w:rsidRPr="00D82E75">
        <w:rPr>
          <w:rFonts w:ascii="Times New Roman" w:hAnsi="Times New Roman" w:cs="Times New Roman"/>
          <w:b/>
          <w:bCs/>
          <w:lang w:val="en-US"/>
        </w:rPr>
        <w:t>“allocation rules”</w:t>
      </w:r>
      <w:r w:rsidRPr="00D82E75">
        <w:rPr>
          <w:rFonts w:ascii="Times New Roman" w:hAnsi="Times New Roman" w:cs="Times New Roman"/>
          <w:lang w:val="en-US"/>
        </w:rPr>
        <w:t xml:space="preserve"> means the rules for forward capacity allocation applied by the single allocation platform.</w:t>
      </w:r>
    </w:p>
    <w:p w14:paraId="78811B35" w14:textId="323E1F21" w:rsidR="318E27D0" w:rsidRPr="00D82E75" w:rsidRDefault="318E27D0" w:rsidP="318E27D0">
      <w:pPr>
        <w:jc w:val="both"/>
        <w:rPr>
          <w:rFonts w:ascii="Times New Roman" w:eastAsia="Aptos" w:hAnsi="Times New Roman" w:cs="Times New Roman"/>
          <w:lang w:val="en-US"/>
        </w:rPr>
      </w:pPr>
    </w:p>
    <w:p w14:paraId="3AA9A1A0" w14:textId="11CA8D43" w:rsidR="009F5A8C" w:rsidRPr="00D82E75" w:rsidRDefault="00377E33"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Under the FCA Regulation,</w:t>
      </w:r>
      <w:r w:rsidR="00D34CF8"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LTTRs may therefore take two main forms</w:t>
      </w:r>
      <w:r w:rsidR="73C64C73" w:rsidRPr="00D82E75">
        <w:rPr>
          <w:rFonts w:ascii="Times New Roman" w:eastAsia="Aptos" w:hAnsi="Times New Roman" w:cs="Times New Roman"/>
          <w:lang w:val="en-US"/>
        </w:rPr>
        <w:t xml:space="preserve">: PTRs </w:t>
      </w:r>
      <w:r w:rsidR="00833CBB" w:rsidRPr="00D82E75">
        <w:rPr>
          <w:rFonts w:ascii="Times New Roman" w:eastAsia="Aptos" w:hAnsi="Times New Roman" w:cs="Times New Roman"/>
          <w:lang w:val="en-US"/>
        </w:rPr>
        <w:t xml:space="preserve">options </w:t>
      </w:r>
      <w:r w:rsidR="73C64C73" w:rsidRPr="00D82E75">
        <w:rPr>
          <w:rFonts w:ascii="Times New Roman" w:eastAsia="Aptos" w:hAnsi="Times New Roman" w:cs="Times New Roman"/>
          <w:lang w:val="en-US"/>
        </w:rPr>
        <w:t>and FTRs</w:t>
      </w:r>
      <w:r w:rsidR="002C270C" w:rsidRPr="00D82E75">
        <w:rPr>
          <w:rFonts w:ascii="Times New Roman" w:eastAsia="Aptos" w:hAnsi="Times New Roman" w:cs="Times New Roman"/>
          <w:lang w:val="en-US"/>
        </w:rPr>
        <w:t xml:space="preserve"> (options or obligations)</w:t>
      </w:r>
      <w:r w:rsidRPr="00D82E75">
        <w:rPr>
          <w:rFonts w:ascii="Times New Roman" w:eastAsia="Aptos" w:hAnsi="Times New Roman" w:cs="Times New Roman"/>
          <w:lang w:val="en-US"/>
        </w:rPr>
        <w:t>.</w:t>
      </w:r>
      <w:r w:rsidR="002C270C" w:rsidRPr="00D82E75">
        <w:rPr>
          <w:rFonts w:ascii="Times New Roman" w:eastAsia="Aptos" w:hAnsi="Times New Roman" w:cs="Times New Roman"/>
          <w:lang w:val="en-US"/>
        </w:rPr>
        <w:t xml:space="preserve"> </w:t>
      </w:r>
      <w:r w:rsidR="009F5A8C" w:rsidRPr="00D82E75">
        <w:rPr>
          <w:rFonts w:ascii="Times New Roman" w:eastAsia="Aptos" w:hAnsi="Times New Roman" w:cs="Times New Roman"/>
          <w:lang w:val="en-US"/>
        </w:rPr>
        <w:t xml:space="preserve">However, only PTR and FTR options are currently used on different borders, whereas FTR obligations are not used on any bidding zone border. </w:t>
      </w:r>
    </w:p>
    <w:p w14:paraId="12497A95" w14:textId="3AAF7F2C" w:rsidR="009F5A8C" w:rsidRPr="00D82E75" w:rsidRDefault="009F5A8C"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PTR options and FTR options are auctioned on a bidding zone border in both directions (“oriented bidding zone borders”), i.e. PTR from zone A to zone B and PTR from zone B to zone A. </w:t>
      </w:r>
    </w:p>
    <w:p w14:paraId="49BE26F7" w14:textId="7D2CDCE5" w:rsidR="009F5A8C" w:rsidRPr="00D82E75" w:rsidRDefault="009F5A8C"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PTR options with UIOSI are physical transmission rights </w:t>
      </w:r>
      <w:r w:rsidR="00FA0AFE" w:rsidRPr="00D82E75">
        <w:rPr>
          <w:rFonts w:ascii="Times New Roman" w:eastAsia="Aptos" w:hAnsi="Times New Roman" w:cs="Times New Roman"/>
          <w:lang w:val="en-US"/>
        </w:rPr>
        <w:t xml:space="preserve">that </w:t>
      </w:r>
      <w:r w:rsidRPr="00D82E75">
        <w:rPr>
          <w:rFonts w:ascii="Times New Roman" w:eastAsia="Aptos" w:hAnsi="Times New Roman" w:cs="Times New Roman"/>
          <w:lang w:val="en-US"/>
        </w:rPr>
        <w:t>give the right to the holder to nominate physically the electricity exchange on the concerned oriented bidding zone border. The UIOSI principle refers to the case when the holder decides not to exercise this right (i.e. not to nominate the physical exchange), the holder receives from the TSOs the market spread (i.e. day-ahead price difference) on the concerned oriented bidding zone border, if positive, for each MW of PTRs it holds. In case the market spread on the concerned oriented bidding zone border is negative, there is no financial exchange between TSOs and PTR holder.</w:t>
      </w:r>
    </w:p>
    <w:p w14:paraId="02EC4576" w14:textId="0652CFBE" w:rsidR="009F5A8C" w:rsidRPr="00D82E75" w:rsidRDefault="009F5A8C"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FTR options are financial transmission rights</w:t>
      </w:r>
      <w:r w:rsidR="004A2EF0"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which give the right to the FTR holder to receive from the TSOs the market spread (i.e. day-ahead price difference) on the concerned oriented bidding zone border, if positive, for each MW of FTRs it holds. In case the market spread on the concerned oriented bidding zone border is negative, there is no financial exchange between TSOs and FTR holder.</w:t>
      </w:r>
      <w:r w:rsidR="0004088B"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PTR options with UIOSI and FTR options are financially fully equivalent</w:t>
      </w:r>
      <w:r w:rsidR="00A21919" w:rsidRPr="00D82E75">
        <w:rPr>
          <w:rFonts w:ascii="Times New Roman" w:eastAsia="Aptos" w:hAnsi="Times New Roman" w:cs="Times New Roman"/>
          <w:lang w:val="en-US"/>
        </w:rPr>
        <w:t xml:space="preserve"> since</w:t>
      </w:r>
      <w:r w:rsidRPr="00D82E75">
        <w:rPr>
          <w:rFonts w:ascii="Times New Roman" w:eastAsia="Aptos" w:hAnsi="Times New Roman" w:cs="Times New Roman"/>
          <w:lang w:val="en-US"/>
        </w:rPr>
        <w:t xml:space="preserve"> they offer the same level of hedging to the holder. </w:t>
      </w:r>
    </w:p>
    <w:p w14:paraId="4BAF259F" w14:textId="47D3C2AC" w:rsidR="00A01840" w:rsidRPr="00D82E75" w:rsidRDefault="004A39B0"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FTR obligations entitle </w:t>
      </w:r>
      <w:r w:rsidR="000B7037" w:rsidRPr="00D82E75">
        <w:rPr>
          <w:rFonts w:ascii="Times New Roman" w:eastAsia="Aptos" w:hAnsi="Times New Roman" w:cs="Times New Roman"/>
          <w:lang w:val="en-US"/>
        </w:rPr>
        <w:t>their</w:t>
      </w:r>
      <w:r w:rsidRPr="00D82E75">
        <w:rPr>
          <w:rFonts w:ascii="Times New Roman" w:eastAsia="Aptos" w:hAnsi="Times New Roman" w:cs="Times New Roman"/>
          <w:lang w:val="en-US"/>
        </w:rPr>
        <w:t xml:space="preserve"> holder to receive from a TSO a remuneration equal to the market spread if positive and oblige </w:t>
      </w:r>
      <w:r w:rsidR="004D719B" w:rsidRPr="00D82E75">
        <w:rPr>
          <w:rFonts w:ascii="Times New Roman" w:eastAsia="Aptos" w:hAnsi="Times New Roman" w:cs="Times New Roman"/>
          <w:lang w:val="en-US"/>
        </w:rPr>
        <w:t>their</w:t>
      </w:r>
      <w:r w:rsidRPr="00D82E75">
        <w:rPr>
          <w:rFonts w:ascii="Times New Roman" w:eastAsia="Aptos" w:hAnsi="Times New Roman" w:cs="Times New Roman"/>
          <w:lang w:val="en-US"/>
        </w:rPr>
        <w:t xml:space="preserve"> holder to provide financial remuneration to the TSO equal to market spread if negative. Hence, the settlement of an FTR obligation equals</w:t>
      </w:r>
      <w:r w:rsidR="008E704A"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 xml:space="preserve">and will reflect the average price differential for the delivery period. </w:t>
      </w:r>
    </w:p>
    <w:p w14:paraId="00688665" w14:textId="2BB04196" w:rsidR="318E27D0" w:rsidRPr="00D82E75" w:rsidRDefault="004A39B0" w:rsidP="00AB2F59">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FTR obligations are allocated on a bidding zone border (or </w:t>
      </w:r>
      <w:r w:rsidR="00C95F07" w:rsidRPr="00D82E75">
        <w:rPr>
          <w:rFonts w:ascii="Times New Roman" w:eastAsia="Aptos" w:hAnsi="Times New Roman" w:cs="Times New Roman"/>
          <w:lang w:val="en-US"/>
        </w:rPr>
        <w:t>z</w:t>
      </w:r>
      <w:r w:rsidR="00B748C5" w:rsidRPr="00D82E75">
        <w:rPr>
          <w:rFonts w:ascii="Times New Roman" w:eastAsia="Aptos" w:hAnsi="Times New Roman" w:cs="Times New Roman"/>
          <w:lang w:val="en-US"/>
        </w:rPr>
        <w:t>one</w:t>
      </w:r>
      <w:r w:rsidR="002E0D47" w:rsidRPr="00D82E75">
        <w:rPr>
          <w:rFonts w:ascii="Times New Roman" w:eastAsia="Aptos" w:hAnsi="Times New Roman" w:cs="Times New Roman"/>
          <w:lang w:val="en-US"/>
        </w:rPr>
        <w:t>-to-</w:t>
      </w:r>
      <w:r w:rsidR="00C95F07" w:rsidRPr="00D82E75">
        <w:rPr>
          <w:rFonts w:ascii="Times New Roman" w:eastAsia="Aptos" w:hAnsi="Times New Roman" w:cs="Times New Roman"/>
          <w:lang w:val="en-US"/>
        </w:rPr>
        <w:t>z</w:t>
      </w:r>
      <w:r w:rsidR="002E0D47" w:rsidRPr="00D82E75">
        <w:rPr>
          <w:rFonts w:ascii="Times New Roman" w:eastAsia="Aptos" w:hAnsi="Times New Roman" w:cs="Times New Roman"/>
          <w:lang w:val="en-US"/>
        </w:rPr>
        <w:t xml:space="preserve">one </w:t>
      </w:r>
      <w:r w:rsidRPr="00D82E75">
        <w:rPr>
          <w:rFonts w:ascii="Times New Roman" w:eastAsia="Aptos" w:hAnsi="Times New Roman" w:cs="Times New Roman"/>
          <w:lang w:val="en-US"/>
        </w:rPr>
        <w:t xml:space="preserve">or </w:t>
      </w:r>
      <w:r w:rsidR="00C95F07" w:rsidRPr="00D82E75">
        <w:rPr>
          <w:rFonts w:ascii="Times New Roman" w:eastAsia="Aptos" w:hAnsi="Times New Roman" w:cs="Times New Roman"/>
          <w:lang w:val="en-US"/>
        </w:rPr>
        <w:t>z</w:t>
      </w:r>
      <w:r w:rsidR="002E0D47" w:rsidRPr="00D82E75">
        <w:rPr>
          <w:rFonts w:ascii="Times New Roman" w:eastAsia="Aptos" w:hAnsi="Times New Roman" w:cs="Times New Roman"/>
          <w:lang w:val="en-US"/>
        </w:rPr>
        <w:t>one-to-</w:t>
      </w:r>
      <w:r w:rsidR="00C95F07" w:rsidRPr="00D82E75">
        <w:rPr>
          <w:rFonts w:ascii="Times New Roman" w:eastAsia="Aptos" w:hAnsi="Times New Roman" w:cs="Times New Roman"/>
          <w:lang w:val="en-US"/>
        </w:rPr>
        <w:t>h</w:t>
      </w:r>
      <w:r w:rsidR="002E0D47" w:rsidRPr="00D82E75">
        <w:rPr>
          <w:rFonts w:ascii="Times New Roman" w:eastAsia="Aptos" w:hAnsi="Times New Roman" w:cs="Times New Roman"/>
          <w:lang w:val="en-US"/>
        </w:rPr>
        <w:t>ub</w:t>
      </w:r>
      <w:r w:rsidRPr="00D82E75">
        <w:rPr>
          <w:rFonts w:ascii="Times New Roman" w:eastAsia="Aptos" w:hAnsi="Times New Roman" w:cs="Times New Roman"/>
          <w:lang w:val="en-US"/>
        </w:rPr>
        <w:t>) with a standard direction (e.g. from hub-to-zone) and there are no FTR obligations allocated in the opposite direction because it is already covered by the standard direction. They are usually priced lower than FTR options and can</w:t>
      </w:r>
      <w:r w:rsidR="000610A1"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also</w:t>
      </w:r>
      <w:r w:rsidR="000610A1"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have negative prices.</w:t>
      </w:r>
      <w:r w:rsidR="00612876" w:rsidRPr="00D82E75">
        <w:rPr>
          <w:lang w:val="en-US"/>
        </w:rPr>
        <w:t xml:space="preserve"> </w:t>
      </w:r>
      <w:r w:rsidR="00612876" w:rsidRPr="00D82E75">
        <w:rPr>
          <w:rFonts w:ascii="Times New Roman" w:eastAsia="Aptos" w:hAnsi="Times New Roman" w:cs="Times New Roman"/>
          <w:lang w:val="en-US"/>
        </w:rPr>
        <w:t>It is noted that FTR obligations are not currently auctioned by the Joint Allocation Office (JAO) at any bidding zone border.</w:t>
      </w:r>
    </w:p>
    <w:p w14:paraId="254FEFC0" w14:textId="2CBB677B" w:rsidR="3DCE89B3" w:rsidRPr="00D82E75" w:rsidRDefault="3DCE89B3" w:rsidP="00C0539E">
      <w:pPr>
        <w:pStyle w:val="a6"/>
        <w:numPr>
          <w:ilvl w:val="0"/>
          <w:numId w:val="7"/>
        </w:numPr>
        <w:jc w:val="both"/>
        <w:rPr>
          <w:rFonts w:ascii="Times New Roman" w:hAnsi="Times New Roman" w:cs="Times New Roman"/>
          <w:b/>
          <w:bCs/>
          <w:lang w:val="en-US"/>
        </w:rPr>
      </w:pPr>
      <w:r w:rsidRPr="00D82E75">
        <w:rPr>
          <w:rFonts w:ascii="Times New Roman" w:hAnsi="Times New Roman" w:cs="Times New Roman"/>
          <w:b/>
          <w:bCs/>
          <w:lang w:val="en-US"/>
        </w:rPr>
        <w:t>Scope of the public consultation</w:t>
      </w:r>
    </w:p>
    <w:p w14:paraId="4A237CD9" w14:textId="77777777" w:rsidR="00BF570B" w:rsidRPr="00D82E75" w:rsidRDefault="00D2129B" w:rsidP="00D2129B">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ACER Decision No 08/2025 amended the Harmonised Allocation Rules (HAR) in accordance with Article 51 of </w:t>
      </w:r>
      <w:r w:rsidR="00682372" w:rsidRPr="00D82E75">
        <w:rPr>
          <w:rFonts w:ascii="Times New Roman" w:eastAsia="Aptos" w:hAnsi="Times New Roman" w:cs="Times New Roman"/>
          <w:lang w:val="en-US"/>
        </w:rPr>
        <w:t xml:space="preserve">FCA Regulation </w:t>
      </w:r>
      <w:r w:rsidRPr="00D82E75">
        <w:rPr>
          <w:rFonts w:ascii="Times New Roman" w:eastAsia="Aptos" w:hAnsi="Times New Roman" w:cs="Times New Roman"/>
          <w:lang w:val="en-US"/>
        </w:rPr>
        <w:t xml:space="preserve">and introduced specific recommendations concerning nomination rules for </w:t>
      </w:r>
      <w:r w:rsidR="004E5AAA" w:rsidRPr="00D82E75">
        <w:rPr>
          <w:rFonts w:ascii="Times New Roman" w:eastAsia="Aptos" w:hAnsi="Times New Roman" w:cs="Times New Roman"/>
          <w:lang w:val="en-US"/>
        </w:rPr>
        <w:t>PTRs</w:t>
      </w:r>
      <w:r w:rsidRPr="00D82E75">
        <w:rPr>
          <w:rFonts w:ascii="Times New Roman" w:eastAsia="Aptos" w:hAnsi="Times New Roman" w:cs="Times New Roman"/>
          <w:lang w:val="en-US"/>
        </w:rPr>
        <w:t>.</w:t>
      </w:r>
      <w:r w:rsidR="00306F62"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 xml:space="preserve">Following the introduction of 15-minute products in the </w:t>
      </w:r>
      <w:r w:rsidR="00C930DF" w:rsidRPr="00D82E75">
        <w:rPr>
          <w:rFonts w:ascii="Times New Roman" w:eastAsia="Aptos" w:hAnsi="Times New Roman" w:cs="Times New Roman"/>
          <w:lang w:val="en-US"/>
        </w:rPr>
        <w:t>d</w:t>
      </w:r>
      <w:r w:rsidRPr="00D82E75">
        <w:rPr>
          <w:rFonts w:ascii="Times New Roman" w:eastAsia="Aptos" w:hAnsi="Times New Roman" w:cs="Times New Roman"/>
          <w:lang w:val="en-US"/>
        </w:rPr>
        <w:t>ay-</w:t>
      </w:r>
      <w:r w:rsidR="00C930DF" w:rsidRPr="00D82E75">
        <w:rPr>
          <w:rFonts w:ascii="Times New Roman" w:eastAsia="Aptos" w:hAnsi="Times New Roman" w:cs="Times New Roman"/>
          <w:lang w:val="en-US"/>
        </w:rPr>
        <w:t>a</w:t>
      </w:r>
      <w:r w:rsidRPr="00D82E75">
        <w:rPr>
          <w:rFonts w:ascii="Times New Roman" w:eastAsia="Aptos" w:hAnsi="Times New Roman" w:cs="Times New Roman"/>
          <w:lang w:val="en-US"/>
        </w:rPr>
        <w:t xml:space="preserve">head </w:t>
      </w:r>
      <w:r w:rsidR="00C930DF" w:rsidRPr="00D82E75">
        <w:rPr>
          <w:rFonts w:ascii="Times New Roman" w:eastAsia="Aptos" w:hAnsi="Times New Roman" w:cs="Times New Roman"/>
          <w:lang w:val="en-US"/>
        </w:rPr>
        <w:t>m</w:t>
      </w:r>
      <w:r w:rsidRPr="00D82E75">
        <w:rPr>
          <w:rFonts w:ascii="Times New Roman" w:eastAsia="Aptos" w:hAnsi="Times New Roman" w:cs="Times New Roman"/>
          <w:lang w:val="en-US"/>
        </w:rPr>
        <w:t xml:space="preserve">arket, ACER clarified that the time granularity </w:t>
      </w:r>
      <w:r w:rsidRPr="00D82E75">
        <w:rPr>
          <w:rFonts w:ascii="Times New Roman" w:eastAsia="Aptos" w:hAnsi="Times New Roman" w:cs="Times New Roman"/>
          <w:lang w:val="en-US"/>
        </w:rPr>
        <w:lastRenderedPageBreak/>
        <w:t xml:space="preserve">for the nomination of PTRs is not defined in the </w:t>
      </w:r>
      <w:r w:rsidR="00C930DF" w:rsidRPr="00D82E75">
        <w:rPr>
          <w:rFonts w:ascii="Times New Roman" w:eastAsia="Aptos" w:hAnsi="Times New Roman" w:cs="Times New Roman"/>
          <w:lang w:val="en-US"/>
        </w:rPr>
        <w:t>HAR but</w:t>
      </w:r>
      <w:r w:rsidRPr="00D82E75">
        <w:rPr>
          <w:rFonts w:ascii="Times New Roman" w:eastAsia="Aptos" w:hAnsi="Times New Roman" w:cs="Times New Roman"/>
          <w:lang w:val="en-US"/>
        </w:rPr>
        <w:t xml:space="preserve"> </w:t>
      </w:r>
      <w:r w:rsidR="00C930DF" w:rsidRPr="00D82E75">
        <w:rPr>
          <w:rFonts w:ascii="Times New Roman" w:eastAsia="Aptos" w:hAnsi="Times New Roman" w:cs="Times New Roman"/>
          <w:lang w:val="en-US"/>
        </w:rPr>
        <w:t>shall be</w:t>
      </w:r>
      <w:r w:rsidRPr="00D82E75">
        <w:rPr>
          <w:rFonts w:ascii="Times New Roman" w:eastAsia="Aptos" w:hAnsi="Times New Roman" w:cs="Times New Roman"/>
          <w:lang w:val="en-US"/>
        </w:rPr>
        <w:t xml:space="preserve"> determined in the applicable regional nomination rules pursuant to Article 36 of FCA Regulation. </w:t>
      </w:r>
    </w:p>
    <w:p w14:paraId="05D25DF9" w14:textId="58D85249" w:rsidR="00D2129B" w:rsidRPr="00D82E75" w:rsidRDefault="00D2129B" w:rsidP="00D2129B">
      <w:pPr>
        <w:jc w:val="both"/>
        <w:rPr>
          <w:rFonts w:ascii="Times New Roman" w:eastAsia="Aptos" w:hAnsi="Times New Roman" w:cs="Times New Roman"/>
          <w:lang w:val="en-US"/>
        </w:rPr>
      </w:pPr>
      <w:r w:rsidRPr="00D82E75">
        <w:rPr>
          <w:rFonts w:ascii="Times New Roman" w:eastAsia="Aptos" w:hAnsi="Times New Roman" w:cs="Times New Roman"/>
          <w:lang w:val="en-US"/>
        </w:rPr>
        <w:t>In this context, ACER recommended that Transmission System Operators and Regulatory Authorities review whether the existing nomination rules should be amended to allow, where appropriate, for the nomination of PTRs at a 15-minute time granularity.</w:t>
      </w:r>
      <w:r w:rsidR="00BF570B" w:rsidRPr="00D82E75">
        <w:rPr>
          <w:rFonts w:ascii="Times New Roman" w:eastAsia="Aptos" w:hAnsi="Times New Roman" w:cs="Times New Roman"/>
          <w:lang w:val="en-US"/>
        </w:rPr>
        <w:t xml:space="preserve"> </w:t>
      </w:r>
      <w:r w:rsidRPr="00D82E75">
        <w:rPr>
          <w:rFonts w:ascii="Times New Roman" w:eastAsia="Aptos" w:hAnsi="Times New Roman" w:cs="Times New Roman"/>
          <w:lang w:val="en-US"/>
        </w:rPr>
        <w:t xml:space="preserve">In addition, ACER raised </w:t>
      </w:r>
      <w:r w:rsidR="000C38A1" w:rsidRPr="00D82E75">
        <w:rPr>
          <w:rFonts w:ascii="Times New Roman" w:eastAsia="Aptos" w:hAnsi="Times New Roman" w:cs="Times New Roman"/>
          <w:lang w:val="en-US"/>
        </w:rPr>
        <w:t>broader</w:t>
      </w:r>
      <w:r w:rsidRPr="00D82E75">
        <w:rPr>
          <w:rFonts w:ascii="Times New Roman" w:eastAsia="Aptos" w:hAnsi="Times New Roman" w:cs="Times New Roman"/>
          <w:lang w:val="en-US"/>
        </w:rPr>
        <w:t xml:space="preserve"> considerations regarding the continued use of PTRs as long-term hedging instruments, compared to potential alternatives in the form of FTRs.</w:t>
      </w:r>
    </w:p>
    <w:p w14:paraId="1428890B" w14:textId="28769993" w:rsidR="00C67FB2" w:rsidRPr="00D82E75" w:rsidRDefault="00943AFB" w:rsidP="00C67FB2">
      <w:pPr>
        <w:jc w:val="both"/>
        <w:rPr>
          <w:rFonts w:ascii="Times New Roman" w:eastAsia="Aptos" w:hAnsi="Times New Roman" w:cs="Times New Roman"/>
          <w:lang w:val="en-US"/>
        </w:rPr>
      </w:pPr>
      <w:r w:rsidRPr="00D82E75">
        <w:rPr>
          <w:rFonts w:ascii="Times New Roman" w:eastAsia="Aptos" w:hAnsi="Times New Roman" w:cs="Times New Roman"/>
          <w:lang w:val="en-US"/>
        </w:rPr>
        <w:t>Considering</w:t>
      </w:r>
      <w:r w:rsidR="00C67FB2" w:rsidRPr="00D82E75">
        <w:rPr>
          <w:rFonts w:ascii="Times New Roman" w:eastAsia="Aptos" w:hAnsi="Times New Roman" w:cs="Times New Roman"/>
          <w:lang w:val="en-US"/>
        </w:rPr>
        <w:t xml:space="preserve"> the above European regulatory developments, RAAEY has requested IPTO to assess the current framework governing long-term cross-border capacity at the Greek bidding zone borders.</w:t>
      </w:r>
    </w:p>
    <w:p w14:paraId="72F37751" w14:textId="6A4C8B35" w:rsidR="00E10152" w:rsidRPr="00D82E75" w:rsidRDefault="00C67FB2" w:rsidP="00C67FB2">
      <w:pPr>
        <w:jc w:val="both"/>
        <w:rPr>
          <w:rFonts w:ascii="Times New Roman" w:eastAsia="Aptos" w:hAnsi="Times New Roman" w:cs="Times New Roman"/>
          <w:lang w:val="en-US"/>
        </w:rPr>
      </w:pPr>
      <w:r w:rsidRPr="00D82E75">
        <w:rPr>
          <w:rFonts w:ascii="Times New Roman" w:eastAsia="Aptos" w:hAnsi="Times New Roman" w:cs="Times New Roman"/>
          <w:lang w:val="en-US"/>
        </w:rPr>
        <w:t>Against this background, IPTO is launching the present public consultation to gather market participants’ views and experience, which will inform its technical and regulatory assessment of the framework for long-term transmission rights at the Greece–Italy and Greece–Bulgaria bidding zone borders.</w:t>
      </w:r>
      <w:r w:rsidR="00E10152" w:rsidRPr="00D82E75">
        <w:rPr>
          <w:rFonts w:ascii="Times New Roman" w:eastAsia="Aptos" w:hAnsi="Times New Roman" w:cs="Times New Roman"/>
          <w:lang w:val="en-US"/>
        </w:rPr>
        <w:t xml:space="preserve"> The participation of market participants in the questionnaire is considered essential in order to ensure that any future adjustments to nomination rules or to the design of </w:t>
      </w:r>
      <w:r w:rsidR="00183CB3" w:rsidRPr="00D82E75">
        <w:rPr>
          <w:rFonts w:ascii="Times New Roman" w:eastAsia="Aptos" w:hAnsi="Times New Roman" w:cs="Times New Roman"/>
          <w:lang w:val="en-US"/>
        </w:rPr>
        <w:t>LTTRs</w:t>
      </w:r>
      <w:r w:rsidR="00E10152" w:rsidRPr="00D82E75">
        <w:rPr>
          <w:rFonts w:ascii="Times New Roman" w:eastAsia="Aptos" w:hAnsi="Times New Roman" w:cs="Times New Roman"/>
          <w:lang w:val="en-US"/>
        </w:rPr>
        <w:t xml:space="preserve"> are informed by actual market experience, operational considerations and hedging needs.</w:t>
      </w:r>
    </w:p>
    <w:p w14:paraId="1B427D88" w14:textId="35CA9B5D" w:rsidR="009B2C34" w:rsidRPr="00D82E75" w:rsidRDefault="009B2C34" w:rsidP="00C67FB2">
      <w:pPr>
        <w:jc w:val="both"/>
        <w:rPr>
          <w:rFonts w:ascii="Times New Roman" w:eastAsia="Aptos" w:hAnsi="Times New Roman" w:cs="Times New Roman"/>
          <w:lang w:val="en-US"/>
        </w:rPr>
      </w:pPr>
      <w:r w:rsidRPr="00D82E75">
        <w:rPr>
          <w:rFonts w:ascii="Times New Roman" w:eastAsia="Aptos" w:hAnsi="Times New Roman" w:cs="Times New Roman"/>
          <w:lang w:val="en-US"/>
        </w:rPr>
        <w:t>For clarity, the present consultation concerns nomination time granularity and does not address the time resolution of long-term products auctioned by JAO, which currently remain hourly (60-minute).</w:t>
      </w:r>
    </w:p>
    <w:p w14:paraId="01355557" w14:textId="409135D0" w:rsidR="00E10152" w:rsidRPr="00D82E75" w:rsidRDefault="00E10152" w:rsidP="00E10152">
      <w:pPr>
        <w:jc w:val="both"/>
        <w:rPr>
          <w:rFonts w:ascii="Times New Roman" w:eastAsia="Aptos" w:hAnsi="Times New Roman" w:cs="Times New Roman"/>
          <w:lang w:val="en-US"/>
        </w:rPr>
      </w:pPr>
      <w:r w:rsidRPr="00D82E75">
        <w:rPr>
          <w:rFonts w:ascii="Times New Roman" w:eastAsia="Aptos" w:hAnsi="Times New Roman" w:cs="Times New Roman"/>
          <w:lang w:val="en-US"/>
        </w:rPr>
        <w:t xml:space="preserve">The questionnaire focuses </w:t>
      </w:r>
      <w:r w:rsidR="00943AFB" w:rsidRPr="00D82E75">
        <w:rPr>
          <w:rFonts w:ascii="Times New Roman" w:eastAsia="Aptos" w:hAnsi="Times New Roman" w:cs="Times New Roman"/>
          <w:lang w:val="en-US"/>
        </w:rPr>
        <w:t>on</w:t>
      </w:r>
      <w:r w:rsidRPr="00D82E75">
        <w:rPr>
          <w:rFonts w:ascii="Times New Roman" w:eastAsia="Aptos" w:hAnsi="Times New Roman" w:cs="Times New Roman"/>
          <w:lang w:val="en-US"/>
        </w:rPr>
        <w:t>:</w:t>
      </w:r>
    </w:p>
    <w:p w14:paraId="7617A845" w14:textId="2FF3D21C" w:rsidR="00E10152" w:rsidRPr="00D82E75" w:rsidRDefault="00E10152" w:rsidP="00E10152">
      <w:pPr>
        <w:pStyle w:val="a6"/>
        <w:numPr>
          <w:ilvl w:val="0"/>
          <w:numId w:val="9"/>
        </w:numPr>
        <w:jc w:val="both"/>
        <w:rPr>
          <w:rFonts w:ascii="Times New Roman" w:eastAsia="Aptos" w:hAnsi="Times New Roman" w:cs="Times New Roman"/>
          <w:lang w:val="en-US"/>
        </w:rPr>
      </w:pPr>
      <w:r w:rsidRPr="00D82E75">
        <w:rPr>
          <w:rFonts w:ascii="Times New Roman" w:eastAsia="Aptos" w:hAnsi="Times New Roman" w:cs="Times New Roman"/>
          <w:lang w:val="en-US"/>
        </w:rPr>
        <w:t>the level of satisfaction with the current framework</w:t>
      </w:r>
      <w:r w:rsidR="00EC24C3" w:rsidRPr="00D82E75">
        <w:rPr>
          <w:rFonts w:ascii="Times New Roman" w:eastAsia="Aptos" w:hAnsi="Times New Roman" w:cs="Times New Roman"/>
          <w:lang w:val="en-US"/>
        </w:rPr>
        <w:t>,</w:t>
      </w:r>
    </w:p>
    <w:p w14:paraId="049F4BB8" w14:textId="37D0386A" w:rsidR="00E10152" w:rsidRPr="00D82E75" w:rsidRDefault="00E10152" w:rsidP="00E10152">
      <w:pPr>
        <w:pStyle w:val="a6"/>
        <w:numPr>
          <w:ilvl w:val="0"/>
          <w:numId w:val="9"/>
        </w:numPr>
        <w:jc w:val="both"/>
        <w:rPr>
          <w:rFonts w:ascii="Times New Roman" w:eastAsia="Aptos" w:hAnsi="Times New Roman" w:cs="Times New Roman"/>
          <w:lang w:val="en-US"/>
        </w:rPr>
      </w:pPr>
      <w:r w:rsidRPr="00D82E75">
        <w:rPr>
          <w:rFonts w:ascii="Times New Roman" w:eastAsia="Aptos" w:hAnsi="Times New Roman" w:cs="Times New Roman"/>
          <w:lang w:val="en-US"/>
        </w:rPr>
        <w:t>any operational difficulties encountered</w:t>
      </w:r>
      <w:r w:rsidR="00EC24C3" w:rsidRPr="00D82E75">
        <w:rPr>
          <w:rFonts w:ascii="Times New Roman" w:eastAsia="Aptos" w:hAnsi="Times New Roman" w:cs="Times New Roman"/>
          <w:lang w:val="en-US"/>
        </w:rPr>
        <w:t>,</w:t>
      </w:r>
    </w:p>
    <w:p w14:paraId="6E287907" w14:textId="17F3E22F" w:rsidR="00E10152" w:rsidRPr="00D82E75" w:rsidRDefault="00E10152" w:rsidP="00E10152">
      <w:pPr>
        <w:pStyle w:val="a6"/>
        <w:numPr>
          <w:ilvl w:val="0"/>
          <w:numId w:val="9"/>
        </w:numPr>
        <w:jc w:val="both"/>
        <w:rPr>
          <w:rFonts w:ascii="Times New Roman" w:eastAsia="Aptos" w:hAnsi="Times New Roman" w:cs="Times New Roman"/>
          <w:lang w:val="en-US"/>
        </w:rPr>
      </w:pPr>
      <w:r w:rsidRPr="00D82E75">
        <w:rPr>
          <w:rFonts w:ascii="Times New Roman" w:eastAsia="Aptos" w:hAnsi="Times New Roman" w:cs="Times New Roman"/>
          <w:lang w:val="en-US"/>
        </w:rPr>
        <w:t>preferences regarding the maintenance of PTRs under the UIOSI principle or a potential transition to FTRs and</w:t>
      </w:r>
    </w:p>
    <w:p w14:paraId="21B801AC" w14:textId="77777777" w:rsidR="00E10152" w:rsidRPr="00D82E75" w:rsidRDefault="00E10152" w:rsidP="00E10152">
      <w:pPr>
        <w:pStyle w:val="a6"/>
        <w:numPr>
          <w:ilvl w:val="0"/>
          <w:numId w:val="9"/>
        </w:numPr>
        <w:jc w:val="both"/>
        <w:rPr>
          <w:rFonts w:ascii="Times New Roman" w:eastAsia="Aptos" w:hAnsi="Times New Roman" w:cs="Times New Roman"/>
          <w:lang w:val="en-US"/>
        </w:rPr>
      </w:pPr>
      <w:r w:rsidRPr="00D82E75">
        <w:rPr>
          <w:rFonts w:ascii="Times New Roman" w:eastAsia="Aptos" w:hAnsi="Times New Roman" w:cs="Times New Roman"/>
          <w:lang w:val="en-US"/>
        </w:rPr>
        <w:t>preferences regarding time granularity (hourly versus 15-minute).</w:t>
      </w:r>
    </w:p>
    <w:p w14:paraId="1A2C0233" w14:textId="73FD2631" w:rsidR="0078138E" w:rsidRPr="00D82E75" w:rsidRDefault="0078138E">
      <w:pPr>
        <w:rPr>
          <w:rFonts w:ascii="Times New Roman" w:eastAsia="Aptos" w:hAnsi="Times New Roman" w:cs="Times New Roman"/>
          <w:lang w:val="en-US"/>
        </w:rPr>
      </w:pPr>
      <w:r w:rsidRPr="00D82E75">
        <w:rPr>
          <w:rFonts w:ascii="Times New Roman" w:eastAsia="Aptos" w:hAnsi="Times New Roman" w:cs="Times New Roman"/>
          <w:lang w:val="en-US"/>
        </w:rPr>
        <w:br w:type="page"/>
      </w:r>
    </w:p>
    <w:p w14:paraId="793B3E44" w14:textId="5AA2655E" w:rsidR="14B4F7AB" w:rsidRPr="00D82E75" w:rsidRDefault="14B4F7AB" w:rsidP="00CC6A49">
      <w:pPr>
        <w:pStyle w:val="a6"/>
        <w:numPr>
          <w:ilvl w:val="0"/>
          <w:numId w:val="7"/>
        </w:numPr>
        <w:jc w:val="both"/>
        <w:rPr>
          <w:rFonts w:ascii="Times New Roman" w:hAnsi="Times New Roman" w:cs="Times New Roman"/>
          <w:b/>
          <w:bCs/>
          <w:lang w:val="en-US"/>
        </w:rPr>
      </w:pPr>
      <w:r w:rsidRPr="00D82E75">
        <w:rPr>
          <w:rFonts w:ascii="Times New Roman" w:hAnsi="Times New Roman" w:cs="Times New Roman"/>
          <w:b/>
          <w:bCs/>
          <w:lang w:val="en-US"/>
        </w:rPr>
        <w:lastRenderedPageBreak/>
        <w:t xml:space="preserve">Questionnaire </w:t>
      </w:r>
    </w:p>
    <w:p w14:paraId="3556438D" w14:textId="1EEAC248" w:rsidR="008527D3" w:rsidRPr="00D82E75" w:rsidRDefault="008527D3" w:rsidP="001F57A0">
      <w:pPr>
        <w:pBdr>
          <w:bottom w:val="single" w:sz="4" w:space="1" w:color="auto"/>
        </w:pBdr>
        <w:spacing w:before="240" w:after="240" w:line="312" w:lineRule="auto"/>
        <w:jc w:val="both"/>
        <w:rPr>
          <w:rFonts w:ascii="Times New Roman" w:eastAsia="Calibri" w:hAnsi="Times New Roman" w:cs="Times New Roman"/>
          <w:lang w:val="en-US"/>
        </w:rPr>
      </w:pPr>
      <w:r w:rsidRPr="00D82E75">
        <w:rPr>
          <w:rFonts w:ascii="Times New Roman" w:eastAsia="Calibri" w:hAnsi="Times New Roman" w:cs="Times New Roman"/>
          <w:lang w:val="en-US"/>
        </w:rPr>
        <w:t>Market participants are invited to provide their feedback by answering the questions below. Unless otherwise specified, responses may refer to one or both Greek bidding zone borders (Greece–Italy and/or Greece–Bulgaria). Where open-ended comments or justifications are provided, respondents are kindly requested to indicate explicitly the relevant bidding zone border(s).</w:t>
      </w:r>
    </w:p>
    <w:p w14:paraId="340AA9D2" w14:textId="77777777" w:rsidR="001F57A0" w:rsidRPr="00D82E75" w:rsidRDefault="001F57A0" w:rsidP="001F57A0">
      <w:pPr>
        <w:rPr>
          <w:rFonts w:ascii="Times New Roman" w:hAnsi="Times New Roman" w:cs="Times New Roman"/>
          <w:b/>
          <w:bCs/>
          <w:lang w:val="en-US"/>
        </w:rPr>
      </w:pPr>
      <w:r w:rsidRPr="00D82E75">
        <w:rPr>
          <w:rFonts w:ascii="Times New Roman" w:hAnsi="Times New Roman" w:cs="Times New Roman"/>
          <w:b/>
          <w:bCs/>
          <w:lang w:val="en-US"/>
        </w:rPr>
        <w:t>Part A – Respondent information</w:t>
      </w:r>
    </w:p>
    <w:p w14:paraId="1821B93B" w14:textId="4D1D0991" w:rsidR="001F57A0" w:rsidRPr="00D82E75" w:rsidRDefault="001F57A0" w:rsidP="001F57A0">
      <w:pPr>
        <w:rPr>
          <w:rFonts w:ascii="Times New Roman" w:hAnsi="Times New Roman" w:cs="Times New Roman"/>
          <w:lang w:val="en-US"/>
        </w:rPr>
      </w:pPr>
      <w:r w:rsidRPr="00D82E75">
        <w:rPr>
          <w:rFonts w:ascii="Times New Roman" w:hAnsi="Times New Roman" w:cs="Times New Roman"/>
          <w:b/>
          <w:bCs/>
          <w:lang w:val="en-US"/>
        </w:rPr>
        <w:t>A1. Type of market participant</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Supplier</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Trader / Energy trading company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w:t>
      </w:r>
      <w:r w:rsidR="00C20086" w:rsidRPr="00D82E75">
        <w:rPr>
          <w:rFonts w:ascii="Times New Roman" w:hAnsi="Times New Roman" w:cs="Times New Roman"/>
          <w:lang w:val="en-US"/>
        </w:rPr>
        <w:t>Self-Supplying Consumer</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Other (please specify): __________</w:t>
      </w:r>
    </w:p>
    <w:p w14:paraId="60CBBB0A" w14:textId="0DB99753" w:rsidR="001F57A0" w:rsidRPr="00D82E75" w:rsidRDefault="001F57A0" w:rsidP="00863E8F">
      <w:pPr>
        <w:pBdr>
          <w:bottom w:val="single" w:sz="4" w:space="1" w:color="auto"/>
        </w:pBdr>
        <w:rPr>
          <w:rFonts w:ascii="Times New Roman" w:hAnsi="Times New Roman" w:cs="Times New Roman"/>
          <w:lang w:val="en-US"/>
        </w:rPr>
      </w:pPr>
      <w:r w:rsidRPr="00D82E75">
        <w:rPr>
          <w:rFonts w:ascii="Times New Roman" w:hAnsi="Times New Roman" w:cs="Times New Roman"/>
          <w:b/>
          <w:bCs/>
          <w:lang w:val="en-US"/>
        </w:rPr>
        <w:t xml:space="preserve">A2. </w:t>
      </w:r>
      <w:r w:rsidR="00C20086" w:rsidRPr="00D82E75">
        <w:rPr>
          <w:rFonts w:ascii="Times New Roman" w:hAnsi="Times New Roman" w:cs="Times New Roman"/>
          <w:b/>
          <w:bCs/>
          <w:lang w:val="en-US"/>
        </w:rPr>
        <w:t>Bidding zone border</w:t>
      </w:r>
      <w:r w:rsidRPr="00D82E75">
        <w:rPr>
          <w:rFonts w:ascii="Times New Roman" w:hAnsi="Times New Roman" w:cs="Times New Roman"/>
          <w:b/>
          <w:bCs/>
          <w:lang w:val="en-US"/>
        </w:rPr>
        <w:t>(s) concerned</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Greece–Italy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Greece–Bulgaria</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Both</w:t>
      </w:r>
    </w:p>
    <w:p w14:paraId="06F1B706" w14:textId="77777777" w:rsidR="00863E8F" w:rsidRPr="00D82E75" w:rsidRDefault="00863E8F" w:rsidP="00863E8F">
      <w:pPr>
        <w:rPr>
          <w:rFonts w:ascii="Times New Roman" w:hAnsi="Times New Roman" w:cs="Times New Roman"/>
          <w:b/>
          <w:bCs/>
          <w:lang w:val="en-US"/>
        </w:rPr>
      </w:pPr>
      <w:r w:rsidRPr="00D82E75">
        <w:rPr>
          <w:rFonts w:ascii="Times New Roman" w:hAnsi="Times New Roman" w:cs="Times New Roman"/>
          <w:b/>
          <w:bCs/>
          <w:lang w:val="en-US"/>
        </w:rPr>
        <w:t>Part B – Experience with Physical Transmission Rights (PTRs)</w:t>
      </w:r>
    </w:p>
    <w:p w14:paraId="637F9069" w14:textId="1DCAB58A" w:rsidR="00863E8F" w:rsidRPr="00D82E75" w:rsidRDefault="00863E8F" w:rsidP="001B7993">
      <w:pPr>
        <w:rPr>
          <w:rFonts w:ascii="Times New Roman" w:hAnsi="Times New Roman" w:cs="Times New Roman"/>
          <w:lang w:val="en-US"/>
        </w:rPr>
      </w:pPr>
      <w:r w:rsidRPr="00D82E75">
        <w:rPr>
          <w:rFonts w:ascii="Times New Roman" w:hAnsi="Times New Roman" w:cs="Times New Roman"/>
          <w:b/>
          <w:bCs/>
          <w:lang w:val="en-US"/>
        </w:rPr>
        <w:t xml:space="preserve">B1. Have you participated in auctions of long-term PTRs at the Greek </w:t>
      </w:r>
      <w:r w:rsidR="001B7993" w:rsidRPr="00D82E75">
        <w:rPr>
          <w:rFonts w:ascii="Times New Roman" w:hAnsi="Times New Roman" w:cs="Times New Roman"/>
          <w:b/>
          <w:bCs/>
          <w:lang w:val="en-US"/>
        </w:rPr>
        <w:t>bidding zone borders</w:t>
      </w:r>
      <w:r w:rsidRPr="00D82E75">
        <w:rPr>
          <w:rFonts w:ascii="Times New Roman" w:hAnsi="Times New Roman" w:cs="Times New Roman"/>
          <w:b/>
          <w:bCs/>
          <w:lang w:val="en-US"/>
        </w:rPr>
        <w:t>?</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Yes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w:t>
      </w:r>
    </w:p>
    <w:p w14:paraId="591EC5F3" w14:textId="2FD3F460" w:rsidR="0064797E" w:rsidRPr="00D82E75" w:rsidRDefault="00863E8F" w:rsidP="00863E8F">
      <w:pPr>
        <w:spacing w:before="240" w:after="240" w:line="312" w:lineRule="auto"/>
        <w:jc w:val="both"/>
        <w:rPr>
          <w:rFonts w:ascii="Times New Roman" w:hAnsi="Times New Roman" w:cs="Times New Roman"/>
          <w:lang w:val="en-US"/>
        </w:rPr>
      </w:pPr>
      <w:r w:rsidRPr="00D82E75">
        <w:rPr>
          <w:rFonts w:ascii="Times New Roman" w:hAnsi="Times New Roman" w:cs="Times New Roman"/>
          <w:lang w:val="en-US"/>
        </w:rPr>
        <w:t xml:space="preserve">If </w:t>
      </w:r>
      <w:r w:rsidRPr="00D82E75">
        <w:rPr>
          <w:rFonts w:ascii="Times New Roman" w:hAnsi="Times New Roman" w:cs="Times New Roman"/>
          <w:i/>
          <w:iCs/>
          <w:lang w:val="en-US"/>
        </w:rPr>
        <w:t>No</w:t>
      </w:r>
      <w:r w:rsidRPr="00D82E75">
        <w:rPr>
          <w:rFonts w:ascii="Times New Roman" w:hAnsi="Times New Roman" w:cs="Times New Roman"/>
          <w:lang w:val="en-US"/>
        </w:rPr>
        <w:t>, please proceed to Part C.</w:t>
      </w:r>
    </w:p>
    <w:p w14:paraId="086D6ABB" w14:textId="77777777" w:rsidR="00A4756C" w:rsidRPr="00D82E75" w:rsidRDefault="00A4756C" w:rsidP="00A4756C">
      <w:pPr>
        <w:rPr>
          <w:rFonts w:ascii="Times New Roman" w:hAnsi="Times New Roman" w:cs="Times New Roman"/>
          <w:lang w:val="en-US"/>
        </w:rPr>
      </w:pPr>
      <w:r w:rsidRPr="00D82E75">
        <w:rPr>
          <w:rFonts w:ascii="Times New Roman" w:hAnsi="Times New Roman" w:cs="Times New Roman"/>
          <w:b/>
          <w:bCs/>
          <w:lang w:val="en-US"/>
        </w:rPr>
        <w:t>B2. How would you assess your overall experience with PTRs under the current framework?</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Very satisfactory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Satisfactory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Neither satisfactory nor unsatisfactory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Unsatisfactory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Very unsatisfactory</w:t>
      </w:r>
    </w:p>
    <w:p w14:paraId="40560306" w14:textId="6C59E7EA" w:rsidR="00B81160" w:rsidRPr="00D82E75" w:rsidRDefault="00B81160" w:rsidP="00A4756C">
      <w:pPr>
        <w:rPr>
          <w:rFonts w:ascii="Times New Roman" w:hAnsi="Times New Roman" w:cs="Times New Roman"/>
          <w:lang w:val="en-US"/>
        </w:rPr>
      </w:pPr>
      <w:r w:rsidRPr="00D82E75">
        <w:rPr>
          <w:rFonts w:ascii="Times New Roman" w:hAnsi="Times New Roman" w:cs="Times New Roman"/>
          <w:lang w:val="en-US"/>
        </w:rPr>
        <w:t xml:space="preserve">Please explain your assessment: </w:t>
      </w:r>
    </w:p>
    <w:p w14:paraId="78997AED" w14:textId="77777777" w:rsidR="00B81160" w:rsidRPr="00D82E75" w:rsidRDefault="00B81160" w:rsidP="00B81160">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01B15327" w14:textId="77777777" w:rsidR="00B81160" w:rsidRPr="00D82E75" w:rsidRDefault="00B81160" w:rsidP="00B81160">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2B3B82B6" w14:textId="77777777" w:rsidR="00B81160" w:rsidRPr="00D82E75" w:rsidRDefault="00B81160" w:rsidP="00B81160">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68A43603" w14:textId="77777777" w:rsidR="00A4756C" w:rsidRPr="00D82E75" w:rsidRDefault="00A4756C" w:rsidP="00A4756C">
      <w:pPr>
        <w:rPr>
          <w:rFonts w:ascii="Times New Roman" w:hAnsi="Times New Roman" w:cs="Times New Roman"/>
          <w:lang w:val="en-US"/>
        </w:rPr>
      </w:pPr>
      <w:r w:rsidRPr="00D82E75">
        <w:rPr>
          <w:rFonts w:ascii="Times New Roman" w:hAnsi="Times New Roman" w:cs="Times New Roman"/>
          <w:b/>
          <w:bCs/>
          <w:lang w:val="en-US"/>
        </w:rPr>
        <w:lastRenderedPageBreak/>
        <w:t>B3. How frequently do you nominate your PTRs?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Always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Often</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Occasionally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Rarely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Never</w:t>
      </w:r>
    </w:p>
    <w:p w14:paraId="436E5989" w14:textId="4AFAF988" w:rsidR="002E26F8" w:rsidRPr="00D82E75" w:rsidRDefault="00C57E52" w:rsidP="00A4756C">
      <w:pPr>
        <w:rPr>
          <w:rFonts w:ascii="Times New Roman" w:hAnsi="Times New Roman" w:cs="Times New Roman"/>
          <w:lang w:val="en-US"/>
        </w:rPr>
      </w:pPr>
      <w:r w:rsidRPr="00D82E75">
        <w:rPr>
          <w:rFonts w:ascii="Times New Roman" w:hAnsi="Times New Roman" w:cs="Times New Roman"/>
          <w:lang w:val="en-US"/>
        </w:rPr>
        <w:t>Please explain your nomination practice:</w:t>
      </w:r>
    </w:p>
    <w:p w14:paraId="0E76DB30" w14:textId="77777777" w:rsidR="00C57E52" w:rsidRPr="00D82E75" w:rsidRDefault="00C57E52" w:rsidP="00C57E5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423B20CE" w14:textId="77777777" w:rsidR="00C57E52" w:rsidRPr="00D82E75" w:rsidRDefault="00C57E52" w:rsidP="00C57E5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2A8AC5ED" w14:textId="77777777" w:rsidR="00C57E52" w:rsidRPr="00D82E75" w:rsidRDefault="00C57E52" w:rsidP="00C57E5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7EB90620" w14:textId="66B99B81" w:rsidR="00A4756C" w:rsidRPr="00D82E75" w:rsidRDefault="00A4756C" w:rsidP="00A4756C">
      <w:pPr>
        <w:rPr>
          <w:rFonts w:ascii="Times New Roman" w:hAnsi="Times New Roman" w:cs="Times New Roman"/>
          <w:lang w:val="en-US"/>
        </w:rPr>
      </w:pPr>
      <w:r w:rsidRPr="00D82E75">
        <w:rPr>
          <w:rFonts w:ascii="Times New Roman" w:hAnsi="Times New Roman" w:cs="Times New Roman"/>
          <w:b/>
          <w:bCs/>
          <w:lang w:val="en-US"/>
        </w:rPr>
        <w:t xml:space="preserve">B4. </w:t>
      </w:r>
      <w:r w:rsidR="003C35EF" w:rsidRPr="00D82E75">
        <w:rPr>
          <w:rFonts w:ascii="Times New Roman" w:hAnsi="Times New Roman" w:cs="Times New Roman"/>
          <w:b/>
          <w:bCs/>
          <w:lang w:val="en-US"/>
        </w:rPr>
        <w:t xml:space="preserve">Are you encountering </w:t>
      </w:r>
      <w:r w:rsidRPr="00D82E75">
        <w:rPr>
          <w:rFonts w:ascii="Times New Roman" w:hAnsi="Times New Roman" w:cs="Times New Roman"/>
          <w:b/>
          <w:bCs/>
          <w:lang w:val="en-US"/>
        </w:rPr>
        <w:t>operational or procedural difficulties when using or nominating PTRs?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Yes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w:t>
      </w:r>
    </w:p>
    <w:p w14:paraId="1B2CEF31" w14:textId="262FD836" w:rsidR="00A4756C" w:rsidRPr="00D82E75" w:rsidRDefault="00A4756C" w:rsidP="00A4756C">
      <w:pPr>
        <w:rPr>
          <w:rFonts w:ascii="Times New Roman" w:hAnsi="Times New Roman" w:cs="Times New Roman"/>
          <w:lang w:val="en-US"/>
        </w:rPr>
      </w:pPr>
      <w:r w:rsidRPr="00D82E75">
        <w:rPr>
          <w:rFonts w:ascii="Times New Roman" w:hAnsi="Times New Roman" w:cs="Times New Roman"/>
          <w:lang w:val="en-US"/>
        </w:rPr>
        <w:t xml:space="preserve">If </w:t>
      </w:r>
      <w:r w:rsidRPr="00D82E75">
        <w:rPr>
          <w:rFonts w:ascii="Times New Roman" w:hAnsi="Times New Roman" w:cs="Times New Roman"/>
          <w:i/>
          <w:iCs/>
          <w:lang w:val="en-US"/>
        </w:rPr>
        <w:t>Yes</w:t>
      </w:r>
      <w:r w:rsidRPr="00D82E75">
        <w:rPr>
          <w:rFonts w:ascii="Times New Roman" w:hAnsi="Times New Roman" w:cs="Times New Roman"/>
          <w:lang w:val="en-US"/>
        </w:rPr>
        <w:t>, please describe:</w:t>
      </w:r>
    </w:p>
    <w:p w14:paraId="1D9B62F1" w14:textId="77777777" w:rsidR="00B07E1B" w:rsidRPr="00D82E75" w:rsidRDefault="00B07E1B" w:rsidP="00791CB3">
      <w:pPr>
        <w:pBdr>
          <w:top w:val="single" w:sz="4" w:space="1" w:color="auto"/>
          <w:left w:val="single" w:sz="4" w:space="4" w:color="auto"/>
          <w:bottom w:val="single" w:sz="4" w:space="0" w:color="auto"/>
          <w:right w:val="single" w:sz="4" w:space="4" w:color="auto"/>
        </w:pBdr>
        <w:spacing w:before="240" w:after="240" w:line="312" w:lineRule="auto"/>
        <w:jc w:val="both"/>
        <w:rPr>
          <w:rFonts w:ascii="Times New Roman" w:eastAsia="Calibri" w:hAnsi="Times New Roman" w:cs="Times New Roman"/>
          <w:lang w:val="en-US"/>
        </w:rPr>
      </w:pPr>
    </w:p>
    <w:p w14:paraId="6DB0C2E4" w14:textId="77777777" w:rsidR="00BA124B" w:rsidRPr="00D82E75" w:rsidRDefault="00BA124B" w:rsidP="00791CB3">
      <w:pPr>
        <w:pBdr>
          <w:top w:val="single" w:sz="4" w:space="1" w:color="auto"/>
          <w:left w:val="single" w:sz="4" w:space="4" w:color="auto"/>
          <w:bottom w:val="single" w:sz="4" w:space="0" w:color="auto"/>
          <w:right w:val="single" w:sz="4" w:space="4" w:color="auto"/>
        </w:pBdr>
        <w:spacing w:before="240" w:after="240" w:line="312" w:lineRule="auto"/>
        <w:jc w:val="both"/>
        <w:rPr>
          <w:rFonts w:ascii="Times New Roman" w:eastAsia="Calibri" w:hAnsi="Times New Roman" w:cs="Times New Roman"/>
          <w:lang w:val="en-US"/>
        </w:rPr>
      </w:pPr>
    </w:p>
    <w:p w14:paraId="214381AD" w14:textId="77777777" w:rsidR="00791CB3" w:rsidRPr="00D82E75" w:rsidRDefault="00791CB3" w:rsidP="00791CB3">
      <w:pPr>
        <w:pBdr>
          <w:top w:val="single" w:sz="4" w:space="1" w:color="auto"/>
          <w:left w:val="single" w:sz="4" w:space="4" w:color="auto"/>
          <w:bottom w:val="single" w:sz="4" w:space="0" w:color="auto"/>
          <w:right w:val="single" w:sz="4" w:space="4" w:color="auto"/>
        </w:pBdr>
        <w:spacing w:before="240" w:after="240" w:line="312" w:lineRule="auto"/>
        <w:jc w:val="both"/>
        <w:rPr>
          <w:rFonts w:ascii="Times New Roman" w:eastAsia="Calibri" w:hAnsi="Times New Roman" w:cs="Times New Roman"/>
          <w:lang w:val="en-US"/>
        </w:rPr>
      </w:pPr>
    </w:p>
    <w:p w14:paraId="46BFDEAF" w14:textId="7E549397" w:rsidR="000F151E" w:rsidRPr="00D82E75" w:rsidRDefault="000F151E" w:rsidP="00791CB3">
      <w:pPr>
        <w:pBdr>
          <w:top w:val="single" w:sz="4" w:space="1" w:color="auto"/>
        </w:pBdr>
        <w:rPr>
          <w:rFonts w:ascii="Times New Roman" w:hAnsi="Times New Roman" w:cs="Times New Roman"/>
          <w:b/>
          <w:bCs/>
          <w:lang w:val="en-US"/>
        </w:rPr>
      </w:pPr>
      <w:r w:rsidRPr="00D82E75">
        <w:rPr>
          <w:rFonts w:ascii="Times New Roman" w:hAnsi="Times New Roman" w:cs="Times New Roman"/>
          <w:b/>
          <w:bCs/>
          <w:lang w:val="en-US"/>
        </w:rPr>
        <w:t>Part C – Time granularity for PTR nomination (1h vs 15 minutes)</w:t>
      </w:r>
    </w:p>
    <w:p w14:paraId="1D9187D1" w14:textId="77777777" w:rsidR="000F151E" w:rsidRPr="00D82E75" w:rsidRDefault="000F151E" w:rsidP="000F151E">
      <w:pPr>
        <w:rPr>
          <w:rFonts w:ascii="Times New Roman" w:hAnsi="Times New Roman" w:cs="Times New Roman"/>
          <w:lang w:val="en-US"/>
        </w:rPr>
      </w:pPr>
      <w:r w:rsidRPr="00D82E75">
        <w:rPr>
          <w:rFonts w:ascii="Times New Roman" w:hAnsi="Times New Roman" w:cs="Times New Roman"/>
          <w:b/>
          <w:bCs/>
          <w:lang w:val="en-US"/>
        </w:rPr>
        <w:t>C1. Do you consider that hourly nomination of PTRs is sufficient for your hedging needs?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Yes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Partially</w:t>
      </w:r>
    </w:p>
    <w:p w14:paraId="73141AE4" w14:textId="110D37FF" w:rsidR="000F151E" w:rsidRPr="00D82E75" w:rsidRDefault="000F151E" w:rsidP="000F151E">
      <w:pPr>
        <w:rPr>
          <w:rFonts w:ascii="Times New Roman" w:hAnsi="Times New Roman" w:cs="Times New Roman"/>
          <w:lang w:val="en-US"/>
        </w:rPr>
      </w:pPr>
      <w:r w:rsidRPr="00D82E75">
        <w:rPr>
          <w:rFonts w:ascii="Times New Roman" w:hAnsi="Times New Roman" w:cs="Times New Roman"/>
          <w:lang w:val="en-US"/>
        </w:rPr>
        <w:t>Please provide justification:</w:t>
      </w:r>
    </w:p>
    <w:p w14:paraId="72B4996F" w14:textId="77777777" w:rsidR="00BA124B" w:rsidRPr="00D82E75" w:rsidRDefault="00BA124B" w:rsidP="000F151E">
      <w:pPr>
        <w:pBdr>
          <w:top w:val="single" w:sz="4" w:space="1" w:color="auto"/>
          <w:left w:val="single" w:sz="4" w:space="4" w:color="auto"/>
          <w:bottom w:val="single" w:sz="4" w:space="1" w:color="auto"/>
          <w:right w:val="single" w:sz="4" w:space="4" w:color="auto"/>
        </w:pBdr>
        <w:spacing w:before="240" w:after="240" w:line="312" w:lineRule="auto"/>
        <w:jc w:val="both"/>
        <w:rPr>
          <w:rFonts w:ascii="Times New Roman" w:eastAsia="Calibri" w:hAnsi="Times New Roman" w:cs="Times New Roman"/>
          <w:lang w:val="en-US"/>
        </w:rPr>
      </w:pPr>
    </w:p>
    <w:p w14:paraId="311A7ED6" w14:textId="77777777" w:rsidR="00791CB3" w:rsidRPr="00D82E75" w:rsidRDefault="00791CB3" w:rsidP="000F151E">
      <w:pPr>
        <w:pBdr>
          <w:top w:val="single" w:sz="4" w:space="1" w:color="auto"/>
          <w:left w:val="single" w:sz="4" w:space="4" w:color="auto"/>
          <w:bottom w:val="single" w:sz="4" w:space="1" w:color="auto"/>
          <w:right w:val="single" w:sz="4" w:space="4" w:color="auto"/>
        </w:pBdr>
        <w:spacing w:before="240" w:after="240" w:line="312" w:lineRule="auto"/>
        <w:jc w:val="both"/>
        <w:rPr>
          <w:rFonts w:ascii="Times New Roman" w:eastAsia="Calibri" w:hAnsi="Times New Roman" w:cs="Times New Roman"/>
          <w:lang w:val="en-US"/>
        </w:rPr>
      </w:pPr>
    </w:p>
    <w:p w14:paraId="3D114F48" w14:textId="77777777" w:rsidR="000F151E" w:rsidRPr="00D82E75" w:rsidRDefault="000F151E" w:rsidP="000F151E">
      <w:pPr>
        <w:pBdr>
          <w:top w:val="single" w:sz="4" w:space="1" w:color="auto"/>
          <w:left w:val="single" w:sz="4" w:space="4" w:color="auto"/>
          <w:bottom w:val="single" w:sz="4" w:space="1" w:color="auto"/>
          <w:right w:val="single" w:sz="4" w:space="4" w:color="auto"/>
        </w:pBdr>
        <w:spacing w:before="240" w:after="240" w:line="312" w:lineRule="auto"/>
        <w:jc w:val="both"/>
        <w:rPr>
          <w:rFonts w:ascii="Times New Roman" w:eastAsia="Calibri" w:hAnsi="Times New Roman" w:cs="Times New Roman"/>
          <w:lang w:val="en-US"/>
        </w:rPr>
      </w:pPr>
    </w:p>
    <w:p w14:paraId="189C1F79" w14:textId="56E37B95" w:rsidR="00B128D4" w:rsidRPr="00D82E75" w:rsidRDefault="00B128D4">
      <w:pPr>
        <w:rPr>
          <w:rFonts w:ascii="Times New Roman" w:hAnsi="Times New Roman" w:cs="Times New Roman"/>
          <w:b/>
          <w:bCs/>
          <w:lang w:val="en-US"/>
        </w:rPr>
      </w:pPr>
      <w:r w:rsidRPr="00D82E75">
        <w:rPr>
          <w:rFonts w:ascii="Times New Roman" w:hAnsi="Times New Roman" w:cs="Times New Roman"/>
          <w:b/>
          <w:bCs/>
          <w:lang w:val="en-US"/>
        </w:rPr>
        <w:br w:type="page"/>
      </w:r>
    </w:p>
    <w:p w14:paraId="7559BD38" w14:textId="38AB244B" w:rsidR="00AB34C1" w:rsidRPr="00D82E75" w:rsidRDefault="00AB34C1" w:rsidP="00AB34C1">
      <w:pPr>
        <w:rPr>
          <w:rFonts w:ascii="Times New Roman" w:hAnsi="Times New Roman" w:cs="Times New Roman"/>
          <w:lang w:val="en-US"/>
        </w:rPr>
      </w:pPr>
      <w:r w:rsidRPr="00D82E75">
        <w:rPr>
          <w:rFonts w:ascii="Times New Roman" w:hAnsi="Times New Roman" w:cs="Times New Roman"/>
          <w:b/>
          <w:bCs/>
          <w:lang w:val="en-US"/>
        </w:rPr>
        <w:lastRenderedPageBreak/>
        <w:t>C2. Would the availability of PTR nomination at a 15-minute time granularity be beneficial for your activities?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Yes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Not sure</w:t>
      </w:r>
    </w:p>
    <w:p w14:paraId="00941DEE" w14:textId="0D67C245" w:rsidR="00E876B7" w:rsidRPr="00D82E75" w:rsidRDefault="001D6264" w:rsidP="00AB34C1">
      <w:pPr>
        <w:rPr>
          <w:rFonts w:ascii="Times New Roman" w:hAnsi="Times New Roman" w:cs="Times New Roman"/>
          <w:lang w:val="en-US"/>
        </w:rPr>
      </w:pPr>
      <w:r w:rsidRPr="00D82E75">
        <w:rPr>
          <w:rFonts w:ascii="Times New Roman" w:hAnsi="Times New Roman" w:cs="Times New Roman"/>
          <w:lang w:val="en-US"/>
        </w:rPr>
        <w:t>Please explain your answer, including the expected benefits or limitations</w:t>
      </w:r>
      <w:r w:rsidR="00E876B7" w:rsidRPr="00D82E75">
        <w:rPr>
          <w:rFonts w:ascii="Times New Roman" w:hAnsi="Times New Roman" w:cs="Times New Roman"/>
          <w:lang w:val="en-US"/>
        </w:rPr>
        <w:t>:</w:t>
      </w:r>
    </w:p>
    <w:p w14:paraId="388A3E34" w14:textId="77777777" w:rsidR="00E876B7" w:rsidRPr="00D82E75" w:rsidRDefault="00E876B7" w:rsidP="00E876B7">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688DF571" w14:textId="77777777" w:rsidR="00E876B7" w:rsidRPr="00D82E75" w:rsidRDefault="00E876B7" w:rsidP="00E876B7">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6284D55" w14:textId="77777777" w:rsidR="00E876B7" w:rsidRPr="00D82E75" w:rsidRDefault="00E876B7" w:rsidP="00771BBF">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0EBD03BC" w14:textId="77777777" w:rsidR="00AB34C1" w:rsidRPr="00D82E75" w:rsidRDefault="00AB34C1" w:rsidP="00AB34C1">
      <w:pPr>
        <w:rPr>
          <w:rFonts w:ascii="Times New Roman" w:hAnsi="Times New Roman" w:cs="Times New Roman"/>
          <w:lang w:val="en-US"/>
        </w:rPr>
      </w:pPr>
      <w:r w:rsidRPr="00D82E75">
        <w:rPr>
          <w:rFonts w:ascii="Times New Roman" w:hAnsi="Times New Roman" w:cs="Times New Roman"/>
          <w:b/>
          <w:bCs/>
          <w:lang w:val="en-US"/>
        </w:rPr>
        <w:t>C3. If PTR nomination at 15-minute granularity were available, would you be likely to use it?</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Yes</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Only in specific circumstances</w:t>
      </w:r>
    </w:p>
    <w:p w14:paraId="0444F67A" w14:textId="58A828C7" w:rsidR="00AB34C1" w:rsidRPr="00D82E75" w:rsidRDefault="00C20641" w:rsidP="00AB34C1">
      <w:pPr>
        <w:rPr>
          <w:rFonts w:ascii="Times New Roman" w:hAnsi="Times New Roman" w:cs="Times New Roman"/>
          <w:lang w:val="en-US"/>
        </w:rPr>
      </w:pPr>
      <w:r w:rsidRPr="00D82E75">
        <w:rPr>
          <w:rFonts w:ascii="Times New Roman" w:hAnsi="Times New Roman" w:cs="Times New Roman"/>
          <w:lang w:val="en-US"/>
        </w:rPr>
        <w:t>Please explain your selection, including any limiting factors</w:t>
      </w:r>
      <w:r w:rsidR="00AB34C1" w:rsidRPr="00D82E75">
        <w:rPr>
          <w:rFonts w:ascii="Times New Roman" w:hAnsi="Times New Roman" w:cs="Times New Roman"/>
          <w:lang w:val="en-US"/>
        </w:rPr>
        <w:t>:</w:t>
      </w:r>
    </w:p>
    <w:p w14:paraId="43A9467B" w14:textId="7D4308EF" w:rsidR="318E27D0" w:rsidRPr="00D82E75" w:rsidRDefault="318E27D0" w:rsidP="00AB34C1">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US"/>
        </w:rPr>
      </w:pPr>
    </w:p>
    <w:p w14:paraId="41551364" w14:textId="77777777" w:rsidR="00791CB3" w:rsidRPr="00D82E75" w:rsidRDefault="00791CB3" w:rsidP="00AB34C1">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US"/>
        </w:rPr>
      </w:pPr>
    </w:p>
    <w:p w14:paraId="329B1EF5" w14:textId="77777777" w:rsidR="00AB34C1" w:rsidRPr="00D82E75" w:rsidRDefault="00AB34C1" w:rsidP="00AB34C1">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n-US"/>
        </w:rPr>
      </w:pPr>
    </w:p>
    <w:p w14:paraId="3E0044D3" w14:textId="45ECC5CA" w:rsidR="00960A15" w:rsidRPr="00D82E75" w:rsidRDefault="00455D5D" w:rsidP="00960A15">
      <w:pPr>
        <w:rPr>
          <w:rFonts w:ascii="Times New Roman" w:hAnsi="Times New Roman" w:cs="Times New Roman"/>
          <w:lang w:val="en-US"/>
        </w:rPr>
      </w:pPr>
      <w:r w:rsidRPr="00D82E75">
        <w:rPr>
          <w:rFonts w:ascii="Times New Roman" w:hAnsi="Times New Roman" w:cs="Times New Roman"/>
          <w:b/>
          <w:bCs/>
          <w:lang w:val="en-US"/>
        </w:rPr>
        <w:t>C4. In your view, would 15-minute granularity</w:t>
      </w:r>
      <w:r w:rsidR="00EC6A39" w:rsidRPr="00D82E75">
        <w:rPr>
          <w:rFonts w:ascii="Times New Roman" w:hAnsi="Times New Roman" w:cs="Times New Roman"/>
          <w:b/>
          <w:bCs/>
          <w:lang w:val="en-US"/>
        </w:rPr>
        <w:t xml:space="preserve"> in nomination</w:t>
      </w:r>
      <w:r w:rsidRPr="00D82E75">
        <w:rPr>
          <w:rFonts w:ascii="Times New Roman" w:hAnsi="Times New Roman" w:cs="Times New Roman"/>
          <w:b/>
          <w:bCs/>
          <w:lang w:val="en-US"/>
        </w:rPr>
        <w:t xml:space="preserve"> increase complexity or operational burden compared to the current hourly framework?</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Significantly increase</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Slightly increase</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 impact</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Reduce complexity</w:t>
      </w:r>
      <w:r w:rsidRPr="00D82E75">
        <w:rPr>
          <w:rFonts w:ascii="Times New Roman" w:hAnsi="Times New Roman" w:cs="Times New Roman"/>
          <w:lang w:val="en-US"/>
        </w:rPr>
        <w:br/>
      </w:r>
      <w:r w:rsidRPr="00D82E75">
        <w:rPr>
          <w:rFonts w:ascii="Segoe UI Symbol" w:hAnsi="Segoe UI Symbol" w:cs="Segoe UI Symbol"/>
          <w:lang w:val="en-US"/>
        </w:rPr>
        <w:t>☐</w:t>
      </w:r>
      <w:r w:rsidRPr="00D82E75">
        <w:rPr>
          <w:rFonts w:ascii="Times New Roman" w:hAnsi="Times New Roman" w:cs="Times New Roman"/>
          <w:lang w:val="en-US"/>
        </w:rPr>
        <w:t xml:space="preserve"> No opinion</w:t>
      </w:r>
    </w:p>
    <w:p w14:paraId="1273C044" w14:textId="77777777" w:rsidR="00E876B7" w:rsidRPr="00D82E75" w:rsidRDefault="00E876B7" w:rsidP="00E876B7">
      <w:pPr>
        <w:rPr>
          <w:rFonts w:ascii="Times New Roman" w:hAnsi="Times New Roman" w:cs="Times New Roman"/>
          <w:lang w:val="en-US"/>
        </w:rPr>
      </w:pPr>
      <w:r w:rsidRPr="00D82E75">
        <w:rPr>
          <w:rFonts w:ascii="Times New Roman" w:hAnsi="Times New Roman" w:cs="Times New Roman"/>
          <w:lang w:val="en-US"/>
        </w:rPr>
        <w:t>Please provide justification:</w:t>
      </w:r>
    </w:p>
    <w:p w14:paraId="7DA3B70F" w14:textId="77777777" w:rsidR="00E876B7" w:rsidRPr="00D82E75" w:rsidRDefault="00E876B7" w:rsidP="00E876B7">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76109886" w14:textId="77777777" w:rsidR="001E5FF4" w:rsidRPr="00D82E75" w:rsidRDefault="001E5FF4" w:rsidP="00E876B7">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0CB2A9CC" w14:textId="77777777" w:rsidR="00E876B7" w:rsidRPr="00D82E75" w:rsidRDefault="00E876B7" w:rsidP="00E876B7">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D37F73B" w14:textId="77777777" w:rsidR="00B128D4" w:rsidRPr="00D82E75" w:rsidRDefault="00B128D4">
      <w:pPr>
        <w:rPr>
          <w:rFonts w:ascii="Times New Roman" w:hAnsi="Times New Roman" w:cs="Times New Roman"/>
          <w:b/>
          <w:bCs/>
          <w:lang w:val="en-US"/>
        </w:rPr>
      </w:pPr>
      <w:r w:rsidRPr="00D82E75">
        <w:rPr>
          <w:rFonts w:ascii="Times New Roman" w:hAnsi="Times New Roman" w:cs="Times New Roman"/>
          <w:b/>
          <w:bCs/>
          <w:lang w:val="en-US"/>
        </w:rPr>
        <w:br w:type="page"/>
      </w:r>
    </w:p>
    <w:p w14:paraId="3423A7D8" w14:textId="7DE1098A" w:rsidR="007A55E7" w:rsidRPr="00D82E75" w:rsidRDefault="007A55E7" w:rsidP="007A55E7">
      <w:pPr>
        <w:pBdr>
          <w:top w:val="single" w:sz="4" w:space="1" w:color="auto"/>
        </w:pBdr>
        <w:rPr>
          <w:rFonts w:ascii="Times New Roman" w:hAnsi="Times New Roman" w:cs="Times New Roman"/>
          <w:b/>
          <w:bCs/>
          <w:lang w:val="en-US"/>
        </w:rPr>
      </w:pPr>
      <w:r w:rsidRPr="00D82E75">
        <w:rPr>
          <w:rFonts w:ascii="Times New Roman" w:hAnsi="Times New Roman" w:cs="Times New Roman"/>
          <w:b/>
          <w:bCs/>
          <w:lang w:val="en-US"/>
        </w:rPr>
        <w:lastRenderedPageBreak/>
        <w:t xml:space="preserve">Part </w:t>
      </w:r>
      <w:r w:rsidR="00960A15" w:rsidRPr="00D82E75">
        <w:rPr>
          <w:rFonts w:ascii="Times New Roman" w:hAnsi="Times New Roman" w:cs="Times New Roman"/>
          <w:b/>
          <w:bCs/>
          <w:lang w:val="en-US"/>
        </w:rPr>
        <w:t>D</w:t>
      </w:r>
      <w:r w:rsidRPr="00D82E75">
        <w:rPr>
          <w:rFonts w:ascii="Times New Roman" w:hAnsi="Times New Roman" w:cs="Times New Roman"/>
          <w:b/>
          <w:bCs/>
          <w:lang w:val="en-US"/>
        </w:rPr>
        <w:t xml:space="preserve"> – PTRs versus Financial Transmission Rights (FTRs)</w:t>
      </w:r>
    </w:p>
    <w:p w14:paraId="4C31327B" w14:textId="0AAA8E48" w:rsidR="007A55E7" w:rsidRPr="00D82E75" w:rsidRDefault="00960A15" w:rsidP="007A55E7">
      <w:pPr>
        <w:rPr>
          <w:rFonts w:ascii="Times New Roman" w:hAnsi="Times New Roman" w:cs="Times New Roman"/>
          <w:lang w:val="en-US"/>
        </w:rPr>
      </w:pPr>
      <w:r w:rsidRPr="00D82E75">
        <w:rPr>
          <w:rFonts w:ascii="Times New Roman" w:hAnsi="Times New Roman" w:cs="Times New Roman"/>
          <w:b/>
          <w:bCs/>
          <w:lang w:val="en-US"/>
        </w:rPr>
        <w:t>D</w:t>
      </w:r>
      <w:r w:rsidR="007A55E7" w:rsidRPr="00D82E75">
        <w:rPr>
          <w:rFonts w:ascii="Times New Roman" w:hAnsi="Times New Roman" w:cs="Times New Roman"/>
          <w:b/>
          <w:bCs/>
          <w:lang w:val="en-US"/>
        </w:rPr>
        <w:t>1. Do you consider PTRs to be an appropriate long-term hedging instrument under a 15-minute market environment?</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Yes</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No</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Not sure</w:t>
      </w:r>
    </w:p>
    <w:p w14:paraId="362FCA84" w14:textId="4FAE3640" w:rsidR="0058419A" w:rsidRPr="00D82E75" w:rsidRDefault="0058419A" w:rsidP="007A55E7">
      <w:pPr>
        <w:rPr>
          <w:rFonts w:ascii="Times New Roman" w:hAnsi="Times New Roman" w:cs="Times New Roman"/>
          <w:lang w:val="en-US"/>
        </w:rPr>
      </w:pPr>
      <w:r w:rsidRPr="00D82E75">
        <w:rPr>
          <w:rFonts w:ascii="Times New Roman" w:hAnsi="Times New Roman" w:cs="Times New Roman"/>
          <w:lang w:val="en-US"/>
        </w:rPr>
        <w:t>Please explain your assessment:</w:t>
      </w:r>
    </w:p>
    <w:p w14:paraId="3EC2628D" w14:textId="77777777" w:rsidR="0058419A" w:rsidRPr="00D82E75" w:rsidRDefault="0058419A" w:rsidP="0058419A">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67B982F5" w14:textId="77777777" w:rsidR="0058419A" w:rsidRPr="00D82E75" w:rsidRDefault="0058419A" w:rsidP="0058419A">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F26447D" w14:textId="77777777" w:rsidR="0058419A" w:rsidRPr="00D82E75" w:rsidRDefault="0058419A" w:rsidP="0058419A">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0F4D729C" w14:textId="00F90A2C" w:rsidR="007A55E7" w:rsidRPr="00D82E75" w:rsidRDefault="00960A15" w:rsidP="007A55E7">
      <w:pPr>
        <w:rPr>
          <w:rFonts w:ascii="Times New Roman" w:hAnsi="Times New Roman" w:cs="Times New Roman"/>
          <w:lang w:val="en-US"/>
        </w:rPr>
      </w:pPr>
      <w:r w:rsidRPr="00D82E75">
        <w:rPr>
          <w:rFonts w:ascii="Times New Roman" w:hAnsi="Times New Roman" w:cs="Times New Roman"/>
          <w:b/>
          <w:bCs/>
          <w:lang w:val="en-US"/>
        </w:rPr>
        <w:t>D</w:t>
      </w:r>
      <w:r w:rsidR="007A55E7" w:rsidRPr="00D82E75">
        <w:rPr>
          <w:rFonts w:ascii="Times New Roman" w:hAnsi="Times New Roman" w:cs="Times New Roman"/>
          <w:b/>
          <w:bCs/>
          <w:lang w:val="en-US"/>
        </w:rPr>
        <w:t>2. Would you prefer an alternative long-term hedging product instead of PTRs</w:t>
      </w:r>
      <w:r w:rsidR="000A0EAF" w:rsidRPr="00D82E75">
        <w:rPr>
          <w:rFonts w:ascii="Times New Roman" w:hAnsi="Times New Roman" w:cs="Times New Roman"/>
          <w:b/>
          <w:bCs/>
          <w:lang w:val="en-US"/>
        </w:rPr>
        <w:t xml:space="preserve"> under the current framework</w:t>
      </w:r>
      <w:r w:rsidR="007A55E7" w:rsidRPr="00D82E75">
        <w:rPr>
          <w:rFonts w:ascii="Times New Roman" w:hAnsi="Times New Roman" w:cs="Times New Roman"/>
          <w:b/>
          <w:bCs/>
          <w:lang w:val="en-US"/>
        </w:rPr>
        <w:t>?</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No, PTRs should be maintained</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Yes, FTR options</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Yes, FTR obligations</w:t>
      </w:r>
      <w:r w:rsidR="007A55E7" w:rsidRPr="00D82E75">
        <w:rPr>
          <w:rFonts w:ascii="Times New Roman" w:hAnsi="Times New Roman" w:cs="Times New Roman"/>
          <w:lang w:val="en-US"/>
        </w:rPr>
        <w:br/>
      </w:r>
      <w:r w:rsidR="007A55E7" w:rsidRPr="00D82E75">
        <w:rPr>
          <w:rFonts w:ascii="Segoe UI Symbol" w:hAnsi="Segoe UI Symbol" w:cs="Segoe UI Symbol"/>
          <w:lang w:val="en-US"/>
        </w:rPr>
        <w:t>☐</w:t>
      </w:r>
      <w:r w:rsidR="007A55E7" w:rsidRPr="00D82E75">
        <w:rPr>
          <w:rFonts w:ascii="Times New Roman" w:hAnsi="Times New Roman" w:cs="Times New Roman"/>
          <w:lang w:val="en-US"/>
        </w:rPr>
        <w:t xml:space="preserve"> No opinion</w:t>
      </w:r>
    </w:p>
    <w:p w14:paraId="293288F0" w14:textId="696417A1" w:rsidR="007A55E7" w:rsidRPr="00D82E75" w:rsidRDefault="007A55E7" w:rsidP="007A55E7">
      <w:pPr>
        <w:rPr>
          <w:rFonts w:ascii="Times New Roman" w:hAnsi="Times New Roman" w:cs="Times New Roman"/>
          <w:lang w:val="en-US"/>
        </w:rPr>
      </w:pPr>
      <w:r w:rsidRPr="00D82E75">
        <w:rPr>
          <w:rFonts w:ascii="Times New Roman" w:hAnsi="Times New Roman" w:cs="Times New Roman"/>
          <w:lang w:val="en-US"/>
        </w:rPr>
        <w:t>Please explain the reasons for your preference:</w:t>
      </w:r>
      <w:r w:rsidRPr="00D82E75">
        <w:rPr>
          <w:rFonts w:ascii="Times New Roman" w:hAnsi="Times New Roman" w:cs="Times New Roman"/>
          <w:lang w:val="en-US"/>
        </w:rPr>
        <w:br/>
        <w:t>(e.g. hedging efficiency, simplicity, risk exposure, operational considerations)</w:t>
      </w:r>
    </w:p>
    <w:p w14:paraId="5865FCDA" w14:textId="77777777" w:rsidR="00842BF9" w:rsidRPr="00D82E75" w:rsidRDefault="00842BF9" w:rsidP="00ED17B8">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2F662420" w14:textId="77777777" w:rsidR="00ED17B8" w:rsidRPr="00D82E75" w:rsidRDefault="00ED17B8" w:rsidP="00ED17B8">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0A5EA0D2" w14:textId="77777777" w:rsidR="00ED17B8" w:rsidRPr="00D82E75" w:rsidRDefault="00ED17B8" w:rsidP="00ED17B8">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2F67F8B" w14:textId="354DF0E8" w:rsidR="007A55E7" w:rsidRPr="00D82E75" w:rsidRDefault="007A55E7" w:rsidP="00FA75A2">
      <w:pPr>
        <w:pBdr>
          <w:top w:val="single" w:sz="4" w:space="1" w:color="auto"/>
        </w:pBdr>
        <w:rPr>
          <w:rFonts w:ascii="Times New Roman" w:hAnsi="Times New Roman" w:cs="Times New Roman"/>
          <w:b/>
          <w:bCs/>
          <w:lang w:val="en-US"/>
        </w:rPr>
      </w:pPr>
      <w:r w:rsidRPr="00D82E75">
        <w:rPr>
          <w:rFonts w:ascii="Times New Roman" w:hAnsi="Times New Roman" w:cs="Times New Roman"/>
          <w:b/>
          <w:bCs/>
          <w:lang w:val="en-US"/>
        </w:rPr>
        <w:t xml:space="preserve">Part </w:t>
      </w:r>
      <w:r w:rsidR="00960A15" w:rsidRPr="00D82E75">
        <w:rPr>
          <w:rFonts w:ascii="Times New Roman" w:hAnsi="Times New Roman" w:cs="Times New Roman"/>
          <w:b/>
          <w:bCs/>
          <w:lang w:val="en-US"/>
        </w:rPr>
        <w:t>E</w:t>
      </w:r>
      <w:r w:rsidRPr="00D82E75">
        <w:rPr>
          <w:rFonts w:ascii="Times New Roman" w:hAnsi="Times New Roman" w:cs="Times New Roman"/>
          <w:b/>
          <w:bCs/>
          <w:lang w:val="en-US"/>
        </w:rPr>
        <w:t xml:space="preserve"> – Additional comments</w:t>
      </w:r>
    </w:p>
    <w:p w14:paraId="3587BADC" w14:textId="3EB1E50D" w:rsidR="007A55E7" w:rsidRDefault="00960A15" w:rsidP="00792A8D">
      <w:pPr>
        <w:jc w:val="both"/>
        <w:rPr>
          <w:rFonts w:ascii="Times New Roman" w:hAnsi="Times New Roman" w:cs="Times New Roman"/>
          <w:b/>
          <w:bCs/>
          <w:lang w:val="en-US"/>
        </w:rPr>
      </w:pPr>
      <w:r w:rsidRPr="00D82E75">
        <w:rPr>
          <w:rFonts w:ascii="Times New Roman" w:hAnsi="Times New Roman" w:cs="Times New Roman"/>
          <w:b/>
          <w:bCs/>
          <w:lang w:val="en-US"/>
        </w:rPr>
        <w:t>E</w:t>
      </w:r>
      <w:r w:rsidR="007A55E7" w:rsidRPr="00D82E75">
        <w:rPr>
          <w:rFonts w:ascii="Times New Roman" w:hAnsi="Times New Roman" w:cs="Times New Roman"/>
          <w:b/>
          <w:bCs/>
          <w:lang w:val="en-US"/>
        </w:rPr>
        <w:t xml:space="preserve">1. Do you have any additional comments or suggestions related to the future design of </w:t>
      </w:r>
      <w:r w:rsidR="00F13651" w:rsidRPr="00D82E75">
        <w:rPr>
          <w:rFonts w:ascii="Times New Roman" w:hAnsi="Times New Roman" w:cs="Times New Roman"/>
          <w:b/>
          <w:bCs/>
          <w:lang w:val="en-US"/>
        </w:rPr>
        <w:t>LTTRs</w:t>
      </w:r>
      <w:r w:rsidR="007A55E7" w:rsidRPr="00D82E75">
        <w:rPr>
          <w:rFonts w:ascii="Times New Roman" w:hAnsi="Times New Roman" w:cs="Times New Roman"/>
          <w:b/>
          <w:bCs/>
          <w:lang w:val="en-US"/>
        </w:rPr>
        <w:t xml:space="preserve"> at the Greek </w:t>
      </w:r>
      <w:r w:rsidR="00FA75A2" w:rsidRPr="00D82E75">
        <w:rPr>
          <w:rFonts w:ascii="Times New Roman" w:hAnsi="Times New Roman" w:cs="Times New Roman"/>
          <w:b/>
          <w:bCs/>
          <w:lang w:val="en-US"/>
        </w:rPr>
        <w:t>bidding zone borders</w:t>
      </w:r>
      <w:r w:rsidR="0093041F" w:rsidRPr="00D82E75">
        <w:rPr>
          <w:rFonts w:ascii="Times New Roman" w:hAnsi="Times New Roman" w:cs="Times New Roman"/>
          <w:b/>
          <w:bCs/>
          <w:lang w:val="en-US"/>
        </w:rPr>
        <w:t xml:space="preserve"> (Greece–Italy and/or Greece–Bulgaria)</w:t>
      </w:r>
      <w:r w:rsidR="007A55E7" w:rsidRPr="00D82E75">
        <w:rPr>
          <w:rFonts w:ascii="Times New Roman" w:hAnsi="Times New Roman" w:cs="Times New Roman"/>
          <w:b/>
          <w:bCs/>
          <w:lang w:val="en-US"/>
        </w:rPr>
        <w:t>?</w:t>
      </w:r>
    </w:p>
    <w:p w14:paraId="2D87ACCF" w14:textId="77777777" w:rsidR="00FA75A2" w:rsidRDefault="00FA75A2" w:rsidP="00FA75A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70210AC6" w14:textId="77777777" w:rsidR="00FA75A2" w:rsidRDefault="00FA75A2" w:rsidP="00FA75A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1C0F372" w14:textId="77777777" w:rsidR="00FA75A2" w:rsidRDefault="00FA75A2" w:rsidP="00FA75A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357CA4F7" w14:textId="77777777" w:rsidR="005B2AFC" w:rsidRPr="007A55E7" w:rsidRDefault="005B2AFC" w:rsidP="00FA75A2">
      <w:pPr>
        <w:pBdr>
          <w:top w:val="single" w:sz="4" w:space="1" w:color="auto"/>
          <w:left w:val="single" w:sz="4" w:space="4" w:color="auto"/>
          <w:bottom w:val="single" w:sz="4" w:space="1" w:color="auto"/>
          <w:right w:val="single" w:sz="4" w:space="4" w:color="auto"/>
        </w:pBdr>
        <w:rPr>
          <w:rFonts w:ascii="Times New Roman" w:hAnsi="Times New Roman" w:cs="Times New Roman"/>
          <w:lang w:val="en-US"/>
        </w:rPr>
      </w:pPr>
    </w:p>
    <w:p w14:paraId="5390C05B" w14:textId="77777777" w:rsidR="00A23B88" w:rsidRDefault="00A23B88" w:rsidP="00A23B88">
      <w:pPr>
        <w:jc w:val="both"/>
        <w:rPr>
          <w:rFonts w:ascii="Times New Roman" w:hAnsi="Times New Roman" w:cs="Times New Roman"/>
          <w:lang w:val="en-US"/>
        </w:rPr>
      </w:pPr>
    </w:p>
    <w:p w14:paraId="1D2CCEC3" w14:textId="77777777" w:rsidR="00A23B88" w:rsidRDefault="00A23B88" w:rsidP="00A23B88">
      <w:pPr>
        <w:jc w:val="both"/>
        <w:rPr>
          <w:rFonts w:ascii="Times New Roman" w:hAnsi="Times New Roman" w:cs="Times New Roman"/>
          <w:lang w:val="en-US"/>
        </w:rPr>
      </w:pPr>
    </w:p>
    <w:p w14:paraId="642BC63B" w14:textId="77777777" w:rsidR="00A23B88" w:rsidRPr="00A23B88" w:rsidRDefault="00A23B88" w:rsidP="00A23B88">
      <w:pPr>
        <w:jc w:val="both"/>
        <w:rPr>
          <w:rFonts w:ascii="Times New Roman" w:hAnsi="Times New Roman" w:cs="Times New Roman"/>
          <w:lang w:val="en-US"/>
        </w:rPr>
      </w:pPr>
    </w:p>
    <w:sectPr w:rsidR="00A23B88" w:rsidRPr="00A23B8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56EB" w14:textId="77777777" w:rsidR="001B79A9" w:rsidRDefault="001B79A9">
      <w:pPr>
        <w:spacing w:after="0" w:line="240" w:lineRule="auto"/>
      </w:pPr>
      <w:r>
        <w:separator/>
      </w:r>
    </w:p>
  </w:endnote>
  <w:endnote w:type="continuationSeparator" w:id="0">
    <w:p w14:paraId="7C937A16" w14:textId="77777777" w:rsidR="001B79A9" w:rsidRDefault="001B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78DE" w14:textId="77777777" w:rsidR="001B79A9" w:rsidRDefault="001B79A9">
      <w:pPr>
        <w:spacing w:after="0" w:line="240" w:lineRule="auto"/>
      </w:pPr>
      <w:r>
        <w:separator/>
      </w:r>
    </w:p>
  </w:footnote>
  <w:footnote w:type="continuationSeparator" w:id="0">
    <w:p w14:paraId="7E5BBDB4" w14:textId="77777777" w:rsidR="001B79A9" w:rsidRDefault="001B7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C06"/>
    <w:multiLevelType w:val="hybridMultilevel"/>
    <w:tmpl w:val="7C16C824"/>
    <w:lvl w:ilvl="0" w:tplc="943E9C64">
      <w:start w:val="1"/>
      <w:numFmt w:val="bullet"/>
      <w:lvlText w:val=""/>
      <w:lvlJc w:val="left"/>
      <w:pPr>
        <w:ind w:left="720" w:hanging="360"/>
      </w:pPr>
      <w:rPr>
        <w:rFonts w:ascii="Symbol" w:hAnsi="Symbol" w:hint="default"/>
      </w:rPr>
    </w:lvl>
    <w:lvl w:ilvl="1" w:tplc="1E922A4A">
      <w:start w:val="1"/>
      <w:numFmt w:val="bullet"/>
      <w:lvlText w:val="o"/>
      <w:lvlJc w:val="left"/>
      <w:pPr>
        <w:ind w:left="1440" w:hanging="360"/>
      </w:pPr>
      <w:rPr>
        <w:rFonts w:ascii="Courier New" w:hAnsi="Courier New" w:hint="default"/>
      </w:rPr>
    </w:lvl>
    <w:lvl w:ilvl="2" w:tplc="DF94C882">
      <w:start w:val="1"/>
      <w:numFmt w:val="bullet"/>
      <w:lvlText w:val=""/>
      <w:lvlJc w:val="left"/>
      <w:pPr>
        <w:ind w:left="2160" w:hanging="360"/>
      </w:pPr>
      <w:rPr>
        <w:rFonts w:ascii="Wingdings" w:hAnsi="Wingdings" w:hint="default"/>
      </w:rPr>
    </w:lvl>
    <w:lvl w:ilvl="3" w:tplc="D9B8E98A">
      <w:start w:val="1"/>
      <w:numFmt w:val="bullet"/>
      <w:lvlText w:val=""/>
      <w:lvlJc w:val="left"/>
      <w:pPr>
        <w:ind w:left="2880" w:hanging="360"/>
      </w:pPr>
      <w:rPr>
        <w:rFonts w:ascii="Symbol" w:hAnsi="Symbol" w:hint="default"/>
      </w:rPr>
    </w:lvl>
    <w:lvl w:ilvl="4" w:tplc="E1DA2598">
      <w:start w:val="1"/>
      <w:numFmt w:val="bullet"/>
      <w:lvlText w:val="o"/>
      <w:lvlJc w:val="left"/>
      <w:pPr>
        <w:ind w:left="3600" w:hanging="360"/>
      </w:pPr>
      <w:rPr>
        <w:rFonts w:ascii="Courier New" w:hAnsi="Courier New" w:hint="default"/>
      </w:rPr>
    </w:lvl>
    <w:lvl w:ilvl="5" w:tplc="9CB43DE6">
      <w:start w:val="1"/>
      <w:numFmt w:val="bullet"/>
      <w:lvlText w:val=""/>
      <w:lvlJc w:val="left"/>
      <w:pPr>
        <w:ind w:left="4320" w:hanging="360"/>
      </w:pPr>
      <w:rPr>
        <w:rFonts w:ascii="Wingdings" w:hAnsi="Wingdings" w:hint="default"/>
      </w:rPr>
    </w:lvl>
    <w:lvl w:ilvl="6" w:tplc="3006B992">
      <w:start w:val="1"/>
      <w:numFmt w:val="bullet"/>
      <w:lvlText w:val=""/>
      <w:lvlJc w:val="left"/>
      <w:pPr>
        <w:ind w:left="5040" w:hanging="360"/>
      </w:pPr>
      <w:rPr>
        <w:rFonts w:ascii="Symbol" w:hAnsi="Symbol" w:hint="default"/>
      </w:rPr>
    </w:lvl>
    <w:lvl w:ilvl="7" w:tplc="CD4A381C">
      <w:start w:val="1"/>
      <w:numFmt w:val="bullet"/>
      <w:lvlText w:val="o"/>
      <w:lvlJc w:val="left"/>
      <w:pPr>
        <w:ind w:left="5760" w:hanging="360"/>
      </w:pPr>
      <w:rPr>
        <w:rFonts w:ascii="Courier New" w:hAnsi="Courier New" w:hint="default"/>
      </w:rPr>
    </w:lvl>
    <w:lvl w:ilvl="8" w:tplc="15F6D892">
      <w:start w:val="1"/>
      <w:numFmt w:val="bullet"/>
      <w:lvlText w:val=""/>
      <w:lvlJc w:val="left"/>
      <w:pPr>
        <w:ind w:left="6480" w:hanging="360"/>
      </w:pPr>
      <w:rPr>
        <w:rFonts w:ascii="Wingdings" w:hAnsi="Wingdings" w:hint="default"/>
      </w:rPr>
    </w:lvl>
  </w:abstractNum>
  <w:abstractNum w:abstractNumId="1" w15:restartNumberingAfterBreak="0">
    <w:nsid w:val="17084EC5"/>
    <w:multiLevelType w:val="multilevel"/>
    <w:tmpl w:val="390C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004A"/>
    <w:multiLevelType w:val="hybridMultilevel"/>
    <w:tmpl w:val="35824886"/>
    <w:lvl w:ilvl="0" w:tplc="88AC9B5C">
      <w:start w:val="1"/>
      <w:numFmt w:val="lowerLetter"/>
      <w:lvlText w:val="%1)"/>
      <w:lvlJc w:val="left"/>
      <w:pPr>
        <w:ind w:left="720" w:hanging="360"/>
      </w:pPr>
    </w:lvl>
    <w:lvl w:ilvl="1" w:tplc="AFB4F9FE">
      <w:start w:val="1"/>
      <w:numFmt w:val="lowerLetter"/>
      <w:lvlText w:val="%2."/>
      <w:lvlJc w:val="left"/>
      <w:pPr>
        <w:ind w:left="1440" w:hanging="360"/>
      </w:pPr>
    </w:lvl>
    <w:lvl w:ilvl="2" w:tplc="34DC316C">
      <w:start w:val="1"/>
      <w:numFmt w:val="lowerRoman"/>
      <w:lvlText w:val="%3."/>
      <w:lvlJc w:val="right"/>
      <w:pPr>
        <w:ind w:left="2160" w:hanging="180"/>
      </w:pPr>
    </w:lvl>
    <w:lvl w:ilvl="3" w:tplc="49BAD8EA">
      <w:start w:val="1"/>
      <w:numFmt w:val="decimal"/>
      <w:lvlText w:val="%4."/>
      <w:lvlJc w:val="left"/>
      <w:pPr>
        <w:ind w:left="2880" w:hanging="360"/>
      </w:pPr>
    </w:lvl>
    <w:lvl w:ilvl="4" w:tplc="421CA82C">
      <w:start w:val="1"/>
      <w:numFmt w:val="lowerLetter"/>
      <w:lvlText w:val="%5."/>
      <w:lvlJc w:val="left"/>
      <w:pPr>
        <w:ind w:left="3600" w:hanging="360"/>
      </w:pPr>
    </w:lvl>
    <w:lvl w:ilvl="5" w:tplc="437A08F8">
      <w:start w:val="1"/>
      <w:numFmt w:val="lowerRoman"/>
      <w:lvlText w:val="%6."/>
      <w:lvlJc w:val="right"/>
      <w:pPr>
        <w:ind w:left="4320" w:hanging="180"/>
      </w:pPr>
    </w:lvl>
    <w:lvl w:ilvl="6" w:tplc="7D442080">
      <w:start w:val="1"/>
      <w:numFmt w:val="decimal"/>
      <w:lvlText w:val="%7."/>
      <w:lvlJc w:val="left"/>
      <w:pPr>
        <w:ind w:left="5040" w:hanging="360"/>
      </w:pPr>
    </w:lvl>
    <w:lvl w:ilvl="7" w:tplc="29EA5000">
      <w:start w:val="1"/>
      <w:numFmt w:val="lowerLetter"/>
      <w:lvlText w:val="%8."/>
      <w:lvlJc w:val="left"/>
      <w:pPr>
        <w:ind w:left="5760" w:hanging="360"/>
      </w:pPr>
    </w:lvl>
    <w:lvl w:ilvl="8" w:tplc="725A4E46">
      <w:start w:val="1"/>
      <w:numFmt w:val="lowerRoman"/>
      <w:lvlText w:val="%9."/>
      <w:lvlJc w:val="right"/>
      <w:pPr>
        <w:ind w:left="6480" w:hanging="180"/>
      </w:pPr>
    </w:lvl>
  </w:abstractNum>
  <w:abstractNum w:abstractNumId="3" w15:restartNumberingAfterBreak="0">
    <w:nsid w:val="22BF40A8"/>
    <w:multiLevelType w:val="multilevel"/>
    <w:tmpl w:val="658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43F8A"/>
    <w:multiLevelType w:val="hybridMultilevel"/>
    <w:tmpl w:val="B932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D246C"/>
    <w:multiLevelType w:val="hybridMultilevel"/>
    <w:tmpl w:val="CAF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E1FDC"/>
    <w:multiLevelType w:val="hybridMultilevel"/>
    <w:tmpl w:val="C3DA0340"/>
    <w:lvl w:ilvl="0" w:tplc="1B5855CE">
      <w:start w:val="1"/>
      <w:numFmt w:val="bullet"/>
      <w:lvlText w:val=""/>
      <w:lvlJc w:val="left"/>
      <w:pPr>
        <w:ind w:left="720" w:hanging="360"/>
      </w:pPr>
      <w:rPr>
        <w:rFonts w:ascii="Symbol" w:hAnsi="Symbol" w:hint="default"/>
      </w:rPr>
    </w:lvl>
    <w:lvl w:ilvl="1" w:tplc="1A06D548">
      <w:start w:val="1"/>
      <w:numFmt w:val="bullet"/>
      <w:lvlText w:val="o"/>
      <w:lvlJc w:val="left"/>
      <w:pPr>
        <w:ind w:left="1440" w:hanging="360"/>
      </w:pPr>
      <w:rPr>
        <w:rFonts w:ascii="Courier New" w:hAnsi="Courier New" w:hint="default"/>
      </w:rPr>
    </w:lvl>
    <w:lvl w:ilvl="2" w:tplc="DA84BE22">
      <w:start w:val="1"/>
      <w:numFmt w:val="bullet"/>
      <w:lvlText w:val=""/>
      <w:lvlJc w:val="left"/>
      <w:pPr>
        <w:ind w:left="2160" w:hanging="360"/>
      </w:pPr>
      <w:rPr>
        <w:rFonts w:ascii="Wingdings" w:hAnsi="Wingdings" w:hint="default"/>
      </w:rPr>
    </w:lvl>
    <w:lvl w:ilvl="3" w:tplc="C2360684">
      <w:start w:val="1"/>
      <w:numFmt w:val="bullet"/>
      <w:lvlText w:val=""/>
      <w:lvlJc w:val="left"/>
      <w:pPr>
        <w:ind w:left="2880" w:hanging="360"/>
      </w:pPr>
      <w:rPr>
        <w:rFonts w:ascii="Symbol" w:hAnsi="Symbol" w:hint="default"/>
      </w:rPr>
    </w:lvl>
    <w:lvl w:ilvl="4" w:tplc="3AC88270">
      <w:start w:val="1"/>
      <w:numFmt w:val="bullet"/>
      <w:lvlText w:val="o"/>
      <w:lvlJc w:val="left"/>
      <w:pPr>
        <w:ind w:left="3600" w:hanging="360"/>
      </w:pPr>
      <w:rPr>
        <w:rFonts w:ascii="Courier New" w:hAnsi="Courier New" w:hint="default"/>
      </w:rPr>
    </w:lvl>
    <w:lvl w:ilvl="5" w:tplc="7C9E1E3C">
      <w:start w:val="1"/>
      <w:numFmt w:val="bullet"/>
      <w:lvlText w:val=""/>
      <w:lvlJc w:val="left"/>
      <w:pPr>
        <w:ind w:left="4320" w:hanging="360"/>
      </w:pPr>
      <w:rPr>
        <w:rFonts w:ascii="Wingdings" w:hAnsi="Wingdings" w:hint="default"/>
      </w:rPr>
    </w:lvl>
    <w:lvl w:ilvl="6" w:tplc="6DEA0BC0">
      <w:start w:val="1"/>
      <w:numFmt w:val="bullet"/>
      <w:lvlText w:val=""/>
      <w:lvlJc w:val="left"/>
      <w:pPr>
        <w:ind w:left="5040" w:hanging="360"/>
      </w:pPr>
      <w:rPr>
        <w:rFonts w:ascii="Symbol" w:hAnsi="Symbol" w:hint="default"/>
      </w:rPr>
    </w:lvl>
    <w:lvl w:ilvl="7" w:tplc="2CE822A6">
      <w:start w:val="1"/>
      <w:numFmt w:val="bullet"/>
      <w:lvlText w:val="o"/>
      <w:lvlJc w:val="left"/>
      <w:pPr>
        <w:ind w:left="5760" w:hanging="360"/>
      </w:pPr>
      <w:rPr>
        <w:rFonts w:ascii="Courier New" w:hAnsi="Courier New" w:hint="default"/>
      </w:rPr>
    </w:lvl>
    <w:lvl w:ilvl="8" w:tplc="86A85418">
      <w:start w:val="1"/>
      <w:numFmt w:val="bullet"/>
      <w:lvlText w:val=""/>
      <w:lvlJc w:val="left"/>
      <w:pPr>
        <w:ind w:left="6480" w:hanging="360"/>
      </w:pPr>
      <w:rPr>
        <w:rFonts w:ascii="Wingdings" w:hAnsi="Wingdings" w:hint="default"/>
      </w:rPr>
    </w:lvl>
  </w:abstractNum>
  <w:abstractNum w:abstractNumId="7" w15:restartNumberingAfterBreak="0">
    <w:nsid w:val="4B1D6B96"/>
    <w:multiLevelType w:val="hybridMultilevel"/>
    <w:tmpl w:val="1DA0D7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2A67F6"/>
    <w:multiLevelType w:val="hybridMultilevel"/>
    <w:tmpl w:val="40B48D20"/>
    <w:lvl w:ilvl="0" w:tplc="7F6827DA">
      <w:start w:val="1"/>
      <w:numFmt w:val="bullet"/>
      <w:lvlText w:val=""/>
      <w:lvlJc w:val="left"/>
      <w:pPr>
        <w:ind w:left="720" w:hanging="360"/>
      </w:pPr>
      <w:rPr>
        <w:rFonts w:ascii="Symbol" w:hAnsi="Symbol"/>
      </w:rPr>
    </w:lvl>
    <w:lvl w:ilvl="1" w:tplc="3AD2F8A6">
      <w:start w:val="1"/>
      <w:numFmt w:val="bullet"/>
      <w:lvlText w:val=""/>
      <w:lvlJc w:val="left"/>
      <w:pPr>
        <w:ind w:left="720" w:hanging="360"/>
      </w:pPr>
      <w:rPr>
        <w:rFonts w:ascii="Symbol" w:hAnsi="Symbol"/>
      </w:rPr>
    </w:lvl>
    <w:lvl w:ilvl="2" w:tplc="91C25DF4">
      <w:start w:val="1"/>
      <w:numFmt w:val="bullet"/>
      <w:lvlText w:val=""/>
      <w:lvlJc w:val="left"/>
      <w:pPr>
        <w:ind w:left="720" w:hanging="360"/>
      </w:pPr>
      <w:rPr>
        <w:rFonts w:ascii="Symbol" w:hAnsi="Symbol"/>
      </w:rPr>
    </w:lvl>
    <w:lvl w:ilvl="3" w:tplc="CBC85E20">
      <w:start w:val="1"/>
      <w:numFmt w:val="bullet"/>
      <w:lvlText w:val=""/>
      <w:lvlJc w:val="left"/>
      <w:pPr>
        <w:ind w:left="720" w:hanging="360"/>
      </w:pPr>
      <w:rPr>
        <w:rFonts w:ascii="Symbol" w:hAnsi="Symbol"/>
      </w:rPr>
    </w:lvl>
    <w:lvl w:ilvl="4" w:tplc="6F884AEE">
      <w:start w:val="1"/>
      <w:numFmt w:val="bullet"/>
      <w:lvlText w:val=""/>
      <w:lvlJc w:val="left"/>
      <w:pPr>
        <w:ind w:left="720" w:hanging="360"/>
      </w:pPr>
      <w:rPr>
        <w:rFonts w:ascii="Symbol" w:hAnsi="Symbol"/>
      </w:rPr>
    </w:lvl>
    <w:lvl w:ilvl="5" w:tplc="F7F042A6">
      <w:start w:val="1"/>
      <w:numFmt w:val="bullet"/>
      <w:lvlText w:val=""/>
      <w:lvlJc w:val="left"/>
      <w:pPr>
        <w:ind w:left="720" w:hanging="360"/>
      </w:pPr>
      <w:rPr>
        <w:rFonts w:ascii="Symbol" w:hAnsi="Symbol"/>
      </w:rPr>
    </w:lvl>
    <w:lvl w:ilvl="6" w:tplc="6CDA8A5C">
      <w:start w:val="1"/>
      <w:numFmt w:val="bullet"/>
      <w:lvlText w:val=""/>
      <w:lvlJc w:val="left"/>
      <w:pPr>
        <w:ind w:left="720" w:hanging="360"/>
      </w:pPr>
      <w:rPr>
        <w:rFonts w:ascii="Symbol" w:hAnsi="Symbol"/>
      </w:rPr>
    </w:lvl>
    <w:lvl w:ilvl="7" w:tplc="57C0B37E">
      <w:start w:val="1"/>
      <w:numFmt w:val="bullet"/>
      <w:lvlText w:val=""/>
      <w:lvlJc w:val="left"/>
      <w:pPr>
        <w:ind w:left="720" w:hanging="360"/>
      </w:pPr>
      <w:rPr>
        <w:rFonts w:ascii="Symbol" w:hAnsi="Symbol"/>
      </w:rPr>
    </w:lvl>
    <w:lvl w:ilvl="8" w:tplc="5EEE6A24">
      <w:start w:val="1"/>
      <w:numFmt w:val="bullet"/>
      <w:lvlText w:val=""/>
      <w:lvlJc w:val="left"/>
      <w:pPr>
        <w:ind w:left="720" w:hanging="360"/>
      </w:pPr>
      <w:rPr>
        <w:rFonts w:ascii="Symbol" w:hAnsi="Symbol"/>
      </w:rPr>
    </w:lvl>
  </w:abstractNum>
  <w:abstractNum w:abstractNumId="9" w15:restartNumberingAfterBreak="0">
    <w:nsid w:val="5F9E0922"/>
    <w:multiLevelType w:val="multilevel"/>
    <w:tmpl w:val="0814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F3C04"/>
    <w:multiLevelType w:val="hybridMultilevel"/>
    <w:tmpl w:val="66625418"/>
    <w:lvl w:ilvl="0" w:tplc="9A1A7196">
      <w:start w:val="1"/>
      <w:numFmt w:val="bullet"/>
      <w:lvlText w:val=""/>
      <w:lvlJc w:val="left"/>
      <w:pPr>
        <w:ind w:left="720" w:hanging="360"/>
      </w:pPr>
      <w:rPr>
        <w:rFonts w:ascii="Symbol" w:hAnsi="Symbol"/>
      </w:rPr>
    </w:lvl>
    <w:lvl w:ilvl="1" w:tplc="145EC352">
      <w:start w:val="1"/>
      <w:numFmt w:val="bullet"/>
      <w:lvlText w:val=""/>
      <w:lvlJc w:val="left"/>
      <w:pPr>
        <w:ind w:left="720" w:hanging="360"/>
      </w:pPr>
      <w:rPr>
        <w:rFonts w:ascii="Symbol" w:hAnsi="Symbol"/>
      </w:rPr>
    </w:lvl>
    <w:lvl w:ilvl="2" w:tplc="BD38BE88">
      <w:start w:val="1"/>
      <w:numFmt w:val="bullet"/>
      <w:lvlText w:val=""/>
      <w:lvlJc w:val="left"/>
      <w:pPr>
        <w:ind w:left="720" w:hanging="360"/>
      </w:pPr>
      <w:rPr>
        <w:rFonts w:ascii="Symbol" w:hAnsi="Symbol"/>
      </w:rPr>
    </w:lvl>
    <w:lvl w:ilvl="3" w:tplc="EAC665F2">
      <w:start w:val="1"/>
      <w:numFmt w:val="bullet"/>
      <w:lvlText w:val=""/>
      <w:lvlJc w:val="left"/>
      <w:pPr>
        <w:ind w:left="720" w:hanging="360"/>
      </w:pPr>
      <w:rPr>
        <w:rFonts w:ascii="Symbol" w:hAnsi="Symbol"/>
      </w:rPr>
    </w:lvl>
    <w:lvl w:ilvl="4" w:tplc="58CAA402">
      <w:start w:val="1"/>
      <w:numFmt w:val="bullet"/>
      <w:lvlText w:val=""/>
      <w:lvlJc w:val="left"/>
      <w:pPr>
        <w:ind w:left="720" w:hanging="360"/>
      </w:pPr>
      <w:rPr>
        <w:rFonts w:ascii="Symbol" w:hAnsi="Symbol"/>
      </w:rPr>
    </w:lvl>
    <w:lvl w:ilvl="5" w:tplc="835AA138">
      <w:start w:val="1"/>
      <w:numFmt w:val="bullet"/>
      <w:lvlText w:val=""/>
      <w:lvlJc w:val="left"/>
      <w:pPr>
        <w:ind w:left="720" w:hanging="360"/>
      </w:pPr>
      <w:rPr>
        <w:rFonts w:ascii="Symbol" w:hAnsi="Symbol"/>
      </w:rPr>
    </w:lvl>
    <w:lvl w:ilvl="6" w:tplc="6B78472C">
      <w:start w:val="1"/>
      <w:numFmt w:val="bullet"/>
      <w:lvlText w:val=""/>
      <w:lvlJc w:val="left"/>
      <w:pPr>
        <w:ind w:left="720" w:hanging="360"/>
      </w:pPr>
      <w:rPr>
        <w:rFonts w:ascii="Symbol" w:hAnsi="Symbol"/>
      </w:rPr>
    </w:lvl>
    <w:lvl w:ilvl="7" w:tplc="B0B0ECF2">
      <w:start w:val="1"/>
      <w:numFmt w:val="bullet"/>
      <w:lvlText w:val=""/>
      <w:lvlJc w:val="left"/>
      <w:pPr>
        <w:ind w:left="720" w:hanging="360"/>
      </w:pPr>
      <w:rPr>
        <w:rFonts w:ascii="Symbol" w:hAnsi="Symbol"/>
      </w:rPr>
    </w:lvl>
    <w:lvl w:ilvl="8" w:tplc="C15439AE">
      <w:start w:val="1"/>
      <w:numFmt w:val="bullet"/>
      <w:lvlText w:val=""/>
      <w:lvlJc w:val="left"/>
      <w:pPr>
        <w:ind w:left="720" w:hanging="360"/>
      </w:pPr>
      <w:rPr>
        <w:rFonts w:ascii="Symbol" w:hAnsi="Symbol"/>
      </w:rPr>
    </w:lvl>
  </w:abstractNum>
  <w:num w:numId="1" w16cid:durableId="1778669968">
    <w:abstractNumId w:val="6"/>
  </w:num>
  <w:num w:numId="2" w16cid:durableId="83034131">
    <w:abstractNumId w:val="2"/>
  </w:num>
  <w:num w:numId="3" w16cid:durableId="1704596448">
    <w:abstractNumId w:val="0"/>
  </w:num>
  <w:num w:numId="4" w16cid:durableId="1134909550">
    <w:abstractNumId w:val="7"/>
  </w:num>
  <w:num w:numId="5" w16cid:durableId="1278289623">
    <w:abstractNumId w:val="3"/>
  </w:num>
  <w:num w:numId="6" w16cid:durableId="1822889411">
    <w:abstractNumId w:val="9"/>
  </w:num>
  <w:num w:numId="7" w16cid:durableId="121505158">
    <w:abstractNumId w:val="4"/>
  </w:num>
  <w:num w:numId="8" w16cid:durableId="673849200">
    <w:abstractNumId w:val="1"/>
  </w:num>
  <w:num w:numId="9" w16cid:durableId="1349671325">
    <w:abstractNumId w:val="5"/>
  </w:num>
  <w:num w:numId="10" w16cid:durableId="219832138">
    <w:abstractNumId w:val="10"/>
  </w:num>
  <w:num w:numId="11" w16cid:durableId="686954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AE"/>
    <w:rsid w:val="00003FB2"/>
    <w:rsid w:val="00013BF9"/>
    <w:rsid w:val="00021A4D"/>
    <w:rsid w:val="0004088B"/>
    <w:rsid w:val="000610A1"/>
    <w:rsid w:val="0007002A"/>
    <w:rsid w:val="00076A74"/>
    <w:rsid w:val="00093F58"/>
    <w:rsid w:val="000A0EAF"/>
    <w:rsid w:val="000B7037"/>
    <w:rsid w:val="000B7C10"/>
    <w:rsid w:val="000C1FED"/>
    <w:rsid w:val="000C38A1"/>
    <w:rsid w:val="000F151E"/>
    <w:rsid w:val="000F3888"/>
    <w:rsid w:val="00117C7C"/>
    <w:rsid w:val="00141683"/>
    <w:rsid w:val="00152CB4"/>
    <w:rsid w:val="00171198"/>
    <w:rsid w:val="00173BC2"/>
    <w:rsid w:val="00183CB3"/>
    <w:rsid w:val="00196DAE"/>
    <w:rsid w:val="001B76A4"/>
    <w:rsid w:val="001B7993"/>
    <w:rsid w:val="001B79A9"/>
    <w:rsid w:val="001D49C7"/>
    <w:rsid w:val="001D6264"/>
    <w:rsid w:val="001D7F58"/>
    <w:rsid w:val="001E5FF4"/>
    <w:rsid w:val="001F57A0"/>
    <w:rsid w:val="00200C50"/>
    <w:rsid w:val="00213E16"/>
    <w:rsid w:val="00277BF8"/>
    <w:rsid w:val="002C270C"/>
    <w:rsid w:val="002E0D47"/>
    <w:rsid w:val="002E26F8"/>
    <w:rsid w:val="002E36ED"/>
    <w:rsid w:val="00303F9D"/>
    <w:rsid w:val="00306F62"/>
    <w:rsid w:val="00311D6A"/>
    <w:rsid w:val="00377E33"/>
    <w:rsid w:val="003B65E2"/>
    <w:rsid w:val="003C35EF"/>
    <w:rsid w:val="003C39F7"/>
    <w:rsid w:val="003C656D"/>
    <w:rsid w:val="00400F98"/>
    <w:rsid w:val="00454F3D"/>
    <w:rsid w:val="00455D5D"/>
    <w:rsid w:val="004A193D"/>
    <w:rsid w:val="004A2EF0"/>
    <w:rsid w:val="004A39B0"/>
    <w:rsid w:val="004A6E50"/>
    <w:rsid w:val="004A6FA6"/>
    <w:rsid w:val="004D719B"/>
    <w:rsid w:val="004E5AAA"/>
    <w:rsid w:val="004E7887"/>
    <w:rsid w:val="00537E9B"/>
    <w:rsid w:val="005455DD"/>
    <w:rsid w:val="005540C2"/>
    <w:rsid w:val="00575035"/>
    <w:rsid w:val="0058419A"/>
    <w:rsid w:val="005B2AFC"/>
    <w:rsid w:val="005B5526"/>
    <w:rsid w:val="005E5BC8"/>
    <w:rsid w:val="005E7F29"/>
    <w:rsid w:val="005F19C8"/>
    <w:rsid w:val="005F31CE"/>
    <w:rsid w:val="00612876"/>
    <w:rsid w:val="00622E63"/>
    <w:rsid w:val="00634C41"/>
    <w:rsid w:val="0064797E"/>
    <w:rsid w:val="00667915"/>
    <w:rsid w:val="00682372"/>
    <w:rsid w:val="006961D1"/>
    <w:rsid w:val="006B4CDE"/>
    <w:rsid w:val="006B689D"/>
    <w:rsid w:val="006D3290"/>
    <w:rsid w:val="006E60F1"/>
    <w:rsid w:val="007473D9"/>
    <w:rsid w:val="0076168D"/>
    <w:rsid w:val="00763398"/>
    <w:rsid w:val="00771BBF"/>
    <w:rsid w:val="007728A1"/>
    <w:rsid w:val="0078138E"/>
    <w:rsid w:val="00786D09"/>
    <w:rsid w:val="00791CB3"/>
    <w:rsid w:val="00792A8D"/>
    <w:rsid w:val="00796EB6"/>
    <w:rsid w:val="007A55E7"/>
    <w:rsid w:val="007C175C"/>
    <w:rsid w:val="007C6E71"/>
    <w:rsid w:val="008178FD"/>
    <w:rsid w:val="00833CBB"/>
    <w:rsid w:val="00842BF9"/>
    <w:rsid w:val="008527D3"/>
    <w:rsid w:val="00863E8F"/>
    <w:rsid w:val="008C143E"/>
    <w:rsid w:val="008D2EA1"/>
    <w:rsid w:val="008E704A"/>
    <w:rsid w:val="009002F2"/>
    <w:rsid w:val="00906CA1"/>
    <w:rsid w:val="00913194"/>
    <w:rsid w:val="0093041F"/>
    <w:rsid w:val="00943AFB"/>
    <w:rsid w:val="00953BD9"/>
    <w:rsid w:val="00953CCB"/>
    <w:rsid w:val="00960A15"/>
    <w:rsid w:val="009B2C34"/>
    <w:rsid w:val="009C5BB5"/>
    <w:rsid w:val="009D23CD"/>
    <w:rsid w:val="009D5FD6"/>
    <w:rsid w:val="009F40A1"/>
    <w:rsid w:val="009F5A8C"/>
    <w:rsid w:val="00A01840"/>
    <w:rsid w:val="00A060E1"/>
    <w:rsid w:val="00A21919"/>
    <w:rsid w:val="00A23B88"/>
    <w:rsid w:val="00A41180"/>
    <w:rsid w:val="00A43184"/>
    <w:rsid w:val="00A4756C"/>
    <w:rsid w:val="00A76396"/>
    <w:rsid w:val="00A9022B"/>
    <w:rsid w:val="00AB2F59"/>
    <w:rsid w:val="00AB34C1"/>
    <w:rsid w:val="00AB656A"/>
    <w:rsid w:val="00AC11E6"/>
    <w:rsid w:val="00AC15D6"/>
    <w:rsid w:val="00AC776D"/>
    <w:rsid w:val="00B02167"/>
    <w:rsid w:val="00B037A6"/>
    <w:rsid w:val="00B07E1B"/>
    <w:rsid w:val="00B1045A"/>
    <w:rsid w:val="00B128D4"/>
    <w:rsid w:val="00B27A12"/>
    <w:rsid w:val="00B65674"/>
    <w:rsid w:val="00B714F3"/>
    <w:rsid w:val="00B748C5"/>
    <w:rsid w:val="00B76256"/>
    <w:rsid w:val="00B81160"/>
    <w:rsid w:val="00B909DB"/>
    <w:rsid w:val="00BA124B"/>
    <w:rsid w:val="00BA345B"/>
    <w:rsid w:val="00BF570B"/>
    <w:rsid w:val="00C011B3"/>
    <w:rsid w:val="00C01C97"/>
    <w:rsid w:val="00C0539E"/>
    <w:rsid w:val="00C20086"/>
    <w:rsid w:val="00C20641"/>
    <w:rsid w:val="00C57E52"/>
    <w:rsid w:val="00C60BCB"/>
    <w:rsid w:val="00C67FB2"/>
    <w:rsid w:val="00C930DF"/>
    <w:rsid w:val="00C95F07"/>
    <w:rsid w:val="00CA43B0"/>
    <w:rsid w:val="00CC6A49"/>
    <w:rsid w:val="00CE4483"/>
    <w:rsid w:val="00CE799B"/>
    <w:rsid w:val="00D07EEE"/>
    <w:rsid w:val="00D108B2"/>
    <w:rsid w:val="00D2129B"/>
    <w:rsid w:val="00D212A9"/>
    <w:rsid w:val="00D32C0E"/>
    <w:rsid w:val="00D34CF8"/>
    <w:rsid w:val="00D42DDA"/>
    <w:rsid w:val="00D668C4"/>
    <w:rsid w:val="00D82E75"/>
    <w:rsid w:val="00D859B0"/>
    <w:rsid w:val="00DA55C4"/>
    <w:rsid w:val="00DC7807"/>
    <w:rsid w:val="00E04277"/>
    <w:rsid w:val="00E078C5"/>
    <w:rsid w:val="00E10152"/>
    <w:rsid w:val="00E14BC2"/>
    <w:rsid w:val="00E50D2A"/>
    <w:rsid w:val="00E6557F"/>
    <w:rsid w:val="00E876B7"/>
    <w:rsid w:val="00E96E9B"/>
    <w:rsid w:val="00EB42BE"/>
    <w:rsid w:val="00EB440B"/>
    <w:rsid w:val="00EC24C3"/>
    <w:rsid w:val="00EC6A39"/>
    <w:rsid w:val="00ED17B8"/>
    <w:rsid w:val="00EE7DED"/>
    <w:rsid w:val="00F13651"/>
    <w:rsid w:val="00F267BD"/>
    <w:rsid w:val="00F33860"/>
    <w:rsid w:val="00F3689F"/>
    <w:rsid w:val="00F52080"/>
    <w:rsid w:val="00F62A1F"/>
    <w:rsid w:val="00F72BEB"/>
    <w:rsid w:val="00F91F12"/>
    <w:rsid w:val="00FA0AFE"/>
    <w:rsid w:val="00FA75A2"/>
    <w:rsid w:val="00FB05E5"/>
    <w:rsid w:val="00FD6CDB"/>
    <w:rsid w:val="03FB35C1"/>
    <w:rsid w:val="05769795"/>
    <w:rsid w:val="05C933F1"/>
    <w:rsid w:val="05F28C6C"/>
    <w:rsid w:val="06ABAF0C"/>
    <w:rsid w:val="070DD240"/>
    <w:rsid w:val="07A63481"/>
    <w:rsid w:val="08E84882"/>
    <w:rsid w:val="0A2C3F67"/>
    <w:rsid w:val="0A9063C0"/>
    <w:rsid w:val="0A99D653"/>
    <w:rsid w:val="0ACD7B32"/>
    <w:rsid w:val="0B5E70BE"/>
    <w:rsid w:val="0BB57E09"/>
    <w:rsid w:val="0BDFCB90"/>
    <w:rsid w:val="0C7D6D1F"/>
    <w:rsid w:val="0CDD41FF"/>
    <w:rsid w:val="0CFE68BF"/>
    <w:rsid w:val="0D75FE9A"/>
    <w:rsid w:val="0D8075D0"/>
    <w:rsid w:val="0E0299EB"/>
    <w:rsid w:val="0EB7BA7C"/>
    <w:rsid w:val="10A718AA"/>
    <w:rsid w:val="10F72DFE"/>
    <w:rsid w:val="115ABF8E"/>
    <w:rsid w:val="117C74CF"/>
    <w:rsid w:val="1225F5FD"/>
    <w:rsid w:val="12F2087D"/>
    <w:rsid w:val="12F794AE"/>
    <w:rsid w:val="136253F4"/>
    <w:rsid w:val="1376BF00"/>
    <w:rsid w:val="13DD19A9"/>
    <w:rsid w:val="14517F9A"/>
    <w:rsid w:val="14B4F7AB"/>
    <w:rsid w:val="1573282E"/>
    <w:rsid w:val="16184246"/>
    <w:rsid w:val="17A7C170"/>
    <w:rsid w:val="17EE81C1"/>
    <w:rsid w:val="180EC6F9"/>
    <w:rsid w:val="1A858C58"/>
    <w:rsid w:val="1AA9DA9A"/>
    <w:rsid w:val="1AC372DC"/>
    <w:rsid w:val="1B683314"/>
    <w:rsid w:val="1BC8E208"/>
    <w:rsid w:val="1D853501"/>
    <w:rsid w:val="1EBC27C3"/>
    <w:rsid w:val="1EDE1846"/>
    <w:rsid w:val="1EF6B573"/>
    <w:rsid w:val="208CBE5C"/>
    <w:rsid w:val="21152538"/>
    <w:rsid w:val="216E609D"/>
    <w:rsid w:val="21C9D450"/>
    <w:rsid w:val="23198551"/>
    <w:rsid w:val="23824A63"/>
    <w:rsid w:val="23A881F5"/>
    <w:rsid w:val="23B05C0A"/>
    <w:rsid w:val="254A18EB"/>
    <w:rsid w:val="25DDCCB8"/>
    <w:rsid w:val="260E59FF"/>
    <w:rsid w:val="265C09D6"/>
    <w:rsid w:val="2673F850"/>
    <w:rsid w:val="26B52296"/>
    <w:rsid w:val="26CA12AF"/>
    <w:rsid w:val="27343D23"/>
    <w:rsid w:val="27B0680C"/>
    <w:rsid w:val="2A1A9FB8"/>
    <w:rsid w:val="2B394768"/>
    <w:rsid w:val="2B6549A6"/>
    <w:rsid w:val="2B8E696E"/>
    <w:rsid w:val="2C5C1ADE"/>
    <w:rsid w:val="2D4E5DEC"/>
    <w:rsid w:val="2D7321F4"/>
    <w:rsid w:val="2DB0B13E"/>
    <w:rsid w:val="2DF522BE"/>
    <w:rsid w:val="2E2C2C19"/>
    <w:rsid w:val="2E2FAD14"/>
    <w:rsid w:val="2F9D4454"/>
    <w:rsid w:val="31300B8B"/>
    <w:rsid w:val="3160A129"/>
    <w:rsid w:val="318AB7D0"/>
    <w:rsid w:val="318E27D0"/>
    <w:rsid w:val="3191929F"/>
    <w:rsid w:val="31AE96E3"/>
    <w:rsid w:val="331849BD"/>
    <w:rsid w:val="333AB52B"/>
    <w:rsid w:val="34B5B322"/>
    <w:rsid w:val="34D27AA8"/>
    <w:rsid w:val="35DA8447"/>
    <w:rsid w:val="3663C8F1"/>
    <w:rsid w:val="37F32928"/>
    <w:rsid w:val="385A90AD"/>
    <w:rsid w:val="39077BC9"/>
    <w:rsid w:val="39788BD1"/>
    <w:rsid w:val="39A4D5BD"/>
    <w:rsid w:val="3C51B1CC"/>
    <w:rsid w:val="3CBDBC72"/>
    <w:rsid w:val="3D53791A"/>
    <w:rsid w:val="3DCE89B3"/>
    <w:rsid w:val="3E6E08A2"/>
    <w:rsid w:val="3EDED77C"/>
    <w:rsid w:val="3F24FEA4"/>
    <w:rsid w:val="3F8BC004"/>
    <w:rsid w:val="3FAE5A9A"/>
    <w:rsid w:val="3FD106B5"/>
    <w:rsid w:val="3FF3F127"/>
    <w:rsid w:val="4055FAFA"/>
    <w:rsid w:val="4145C716"/>
    <w:rsid w:val="41B38CBF"/>
    <w:rsid w:val="420FCCD7"/>
    <w:rsid w:val="4268F8D9"/>
    <w:rsid w:val="42CEB05E"/>
    <w:rsid w:val="43381BCB"/>
    <w:rsid w:val="435D4048"/>
    <w:rsid w:val="43E399EA"/>
    <w:rsid w:val="442D3D12"/>
    <w:rsid w:val="47376AD8"/>
    <w:rsid w:val="4778E74A"/>
    <w:rsid w:val="47E49CAC"/>
    <w:rsid w:val="4862FD83"/>
    <w:rsid w:val="48CC0052"/>
    <w:rsid w:val="4A7003F6"/>
    <w:rsid w:val="4A75F71B"/>
    <w:rsid w:val="4AAB4D42"/>
    <w:rsid w:val="4B18771D"/>
    <w:rsid w:val="4B23512E"/>
    <w:rsid w:val="4BA0CECC"/>
    <w:rsid w:val="4BB55416"/>
    <w:rsid w:val="4BFAABB1"/>
    <w:rsid w:val="4C61284A"/>
    <w:rsid w:val="4C6D4E6F"/>
    <w:rsid w:val="4D48E8AA"/>
    <w:rsid w:val="4D67CA99"/>
    <w:rsid w:val="4DE875F1"/>
    <w:rsid w:val="4F4E2FE0"/>
    <w:rsid w:val="4F8D21B7"/>
    <w:rsid w:val="5055E7A3"/>
    <w:rsid w:val="50D26515"/>
    <w:rsid w:val="5294FE38"/>
    <w:rsid w:val="52D9DF46"/>
    <w:rsid w:val="53080E86"/>
    <w:rsid w:val="534503A1"/>
    <w:rsid w:val="546045E6"/>
    <w:rsid w:val="5509ECD7"/>
    <w:rsid w:val="55C15D92"/>
    <w:rsid w:val="5762BFD8"/>
    <w:rsid w:val="57CB00BC"/>
    <w:rsid w:val="586EB757"/>
    <w:rsid w:val="58DB981B"/>
    <w:rsid w:val="58E3B16E"/>
    <w:rsid w:val="58F064BB"/>
    <w:rsid w:val="593CF52B"/>
    <w:rsid w:val="5AA1D1A2"/>
    <w:rsid w:val="5B01F343"/>
    <w:rsid w:val="5C678EC0"/>
    <w:rsid w:val="5DB79954"/>
    <w:rsid w:val="5E6E9F15"/>
    <w:rsid w:val="5F36E4BF"/>
    <w:rsid w:val="5F4ED3E0"/>
    <w:rsid w:val="60E0F3BC"/>
    <w:rsid w:val="610E27EB"/>
    <w:rsid w:val="63816D19"/>
    <w:rsid w:val="64227DF1"/>
    <w:rsid w:val="654076AA"/>
    <w:rsid w:val="657FDF64"/>
    <w:rsid w:val="659BEF7A"/>
    <w:rsid w:val="65A15006"/>
    <w:rsid w:val="65E69BF1"/>
    <w:rsid w:val="669ABB04"/>
    <w:rsid w:val="66DAA4F4"/>
    <w:rsid w:val="66F7A5E9"/>
    <w:rsid w:val="67095C46"/>
    <w:rsid w:val="67676A8D"/>
    <w:rsid w:val="682B1551"/>
    <w:rsid w:val="68302844"/>
    <w:rsid w:val="686ED954"/>
    <w:rsid w:val="6AD7CAE6"/>
    <w:rsid w:val="6B7C9ED1"/>
    <w:rsid w:val="6CA3A81F"/>
    <w:rsid w:val="6CBC3E4B"/>
    <w:rsid w:val="6CBF9D30"/>
    <w:rsid w:val="6DC0FFA6"/>
    <w:rsid w:val="70635453"/>
    <w:rsid w:val="726FC995"/>
    <w:rsid w:val="72A34EA6"/>
    <w:rsid w:val="72D6F9C9"/>
    <w:rsid w:val="73C64C73"/>
    <w:rsid w:val="7567C9AF"/>
    <w:rsid w:val="75EB21AA"/>
    <w:rsid w:val="76B6413B"/>
    <w:rsid w:val="770B8FB0"/>
    <w:rsid w:val="780DEB70"/>
    <w:rsid w:val="79869951"/>
    <w:rsid w:val="7AA30BA4"/>
    <w:rsid w:val="7D5A29CF"/>
    <w:rsid w:val="7EABDD59"/>
    <w:rsid w:val="7EB2162F"/>
    <w:rsid w:val="7FB4D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981F"/>
  <w15:chartTrackingRefBased/>
  <w15:docId w15:val="{398A8952-4795-4759-AFCD-48FFE7EE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6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6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6D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6D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6D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6D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6D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6D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6D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D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6D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6D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6D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6D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6D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6D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6D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6DAE"/>
    <w:rPr>
      <w:rFonts w:eastAsiaTheme="majorEastAsia" w:cstheme="majorBidi"/>
      <w:color w:val="272727" w:themeColor="text1" w:themeTint="D8"/>
    </w:rPr>
  </w:style>
  <w:style w:type="paragraph" w:styleId="a3">
    <w:name w:val="Title"/>
    <w:basedOn w:val="a"/>
    <w:next w:val="a"/>
    <w:link w:val="Char"/>
    <w:uiPriority w:val="10"/>
    <w:qFormat/>
    <w:rsid w:val="00196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6D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6D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6D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6DAE"/>
    <w:pPr>
      <w:spacing w:before="160"/>
      <w:jc w:val="center"/>
    </w:pPr>
    <w:rPr>
      <w:i/>
      <w:iCs/>
      <w:color w:val="404040" w:themeColor="text1" w:themeTint="BF"/>
    </w:rPr>
  </w:style>
  <w:style w:type="character" w:customStyle="1" w:styleId="Char1">
    <w:name w:val="Απόσπασμα Char"/>
    <w:basedOn w:val="a0"/>
    <w:link w:val="a5"/>
    <w:uiPriority w:val="29"/>
    <w:rsid w:val="00196DAE"/>
    <w:rPr>
      <w:i/>
      <w:iCs/>
      <w:color w:val="404040" w:themeColor="text1" w:themeTint="BF"/>
    </w:rPr>
  </w:style>
  <w:style w:type="paragraph" w:styleId="a6">
    <w:name w:val="List Paragraph"/>
    <w:basedOn w:val="a"/>
    <w:uiPriority w:val="34"/>
    <w:qFormat/>
    <w:rsid w:val="00196DAE"/>
    <w:pPr>
      <w:ind w:left="720"/>
      <w:contextualSpacing/>
    </w:pPr>
  </w:style>
  <w:style w:type="character" w:styleId="a7">
    <w:name w:val="Intense Emphasis"/>
    <w:basedOn w:val="a0"/>
    <w:uiPriority w:val="21"/>
    <w:qFormat/>
    <w:rsid w:val="00196DAE"/>
    <w:rPr>
      <w:i/>
      <w:iCs/>
      <w:color w:val="0F4761" w:themeColor="accent1" w:themeShade="BF"/>
    </w:rPr>
  </w:style>
  <w:style w:type="paragraph" w:styleId="a8">
    <w:name w:val="Intense Quote"/>
    <w:basedOn w:val="a"/>
    <w:next w:val="a"/>
    <w:link w:val="Char2"/>
    <w:uiPriority w:val="30"/>
    <w:qFormat/>
    <w:rsid w:val="00196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6DAE"/>
    <w:rPr>
      <w:i/>
      <w:iCs/>
      <w:color w:val="0F4761" w:themeColor="accent1" w:themeShade="BF"/>
    </w:rPr>
  </w:style>
  <w:style w:type="character" w:styleId="a9">
    <w:name w:val="Intense Reference"/>
    <w:basedOn w:val="a0"/>
    <w:uiPriority w:val="32"/>
    <w:qFormat/>
    <w:rsid w:val="00196DAE"/>
    <w:rPr>
      <w:b/>
      <w:bCs/>
      <w:smallCaps/>
      <w:color w:val="0F4761" w:themeColor="accent1" w:themeShade="BF"/>
      <w:spacing w:val="5"/>
    </w:rPr>
  </w:style>
  <w:style w:type="character" w:styleId="-">
    <w:name w:val="Hyperlink"/>
    <w:basedOn w:val="a0"/>
    <w:uiPriority w:val="99"/>
    <w:unhideWhenUsed/>
    <w:rsid w:val="318E27D0"/>
    <w:rPr>
      <w:color w:val="467886"/>
      <w:u w:val="single"/>
    </w:rPr>
  </w:style>
  <w:style w:type="paragraph" w:styleId="aa">
    <w:name w:val="footnote text"/>
    <w:basedOn w:val="a"/>
    <w:uiPriority w:val="99"/>
    <w:semiHidden/>
    <w:unhideWhenUsed/>
    <w:rsid w:val="318E27D0"/>
    <w:pPr>
      <w:spacing w:after="0" w:line="240" w:lineRule="auto"/>
    </w:pPr>
    <w:rPr>
      <w:sz w:val="20"/>
      <w:szCs w:val="20"/>
    </w:rPr>
  </w:style>
  <w:style w:type="character" w:styleId="ab">
    <w:name w:val="footnote reference"/>
    <w:basedOn w:val="a0"/>
    <w:uiPriority w:val="99"/>
    <w:semiHidden/>
    <w:unhideWhenUsed/>
    <w:rsid w:val="318E27D0"/>
    <w:rPr>
      <w:vertAlign w:val="superscript"/>
    </w:rPr>
  </w:style>
  <w:style w:type="table" w:styleId="ac">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annotation text"/>
    <w:basedOn w:val="a"/>
    <w:link w:val="Char3"/>
    <w:uiPriority w:val="99"/>
    <w:unhideWhenUsed/>
    <w:pPr>
      <w:spacing w:line="240" w:lineRule="auto"/>
    </w:pPr>
    <w:rPr>
      <w:sz w:val="20"/>
      <w:szCs w:val="20"/>
    </w:rPr>
  </w:style>
  <w:style w:type="character" w:customStyle="1" w:styleId="Char3">
    <w:name w:val="Κείμενο σχολίου Char"/>
    <w:basedOn w:val="a0"/>
    <w:link w:val="ad"/>
    <w:uiPriority w:val="99"/>
    <w:rPr>
      <w:sz w:val="20"/>
      <w:szCs w:val="20"/>
    </w:rPr>
  </w:style>
  <w:style w:type="character" w:styleId="ae">
    <w:name w:val="annotation reference"/>
    <w:basedOn w:val="a0"/>
    <w:uiPriority w:val="99"/>
    <w:semiHidden/>
    <w:unhideWhenUsed/>
    <w:rPr>
      <w:sz w:val="16"/>
      <w:szCs w:val="16"/>
    </w:rPr>
  </w:style>
  <w:style w:type="paragraph" w:styleId="af">
    <w:name w:val="Revision"/>
    <w:hidden/>
    <w:uiPriority w:val="99"/>
    <w:semiHidden/>
    <w:rsid w:val="001B76A4"/>
    <w:pPr>
      <w:spacing w:after="0" w:line="240" w:lineRule="auto"/>
    </w:pPr>
  </w:style>
  <w:style w:type="paragraph" w:styleId="af0">
    <w:name w:val="annotation subject"/>
    <w:basedOn w:val="ad"/>
    <w:next w:val="ad"/>
    <w:link w:val="Char4"/>
    <w:uiPriority w:val="99"/>
    <w:semiHidden/>
    <w:unhideWhenUsed/>
    <w:rsid w:val="00A060E1"/>
    <w:rPr>
      <w:b/>
      <w:bCs/>
    </w:rPr>
  </w:style>
  <w:style w:type="character" w:customStyle="1" w:styleId="Char4">
    <w:name w:val="Θέμα σχολίου Char"/>
    <w:basedOn w:val="Char3"/>
    <w:link w:val="af0"/>
    <w:uiPriority w:val="99"/>
    <w:semiHidden/>
    <w:rsid w:val="00A060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8ea1c-56da-4397-9999-006f027fbd19" xsi:nil="true"/>
    <lcf76f155ced4ddcb4097134ff3c332f xmlns="c09ff0d1-c1ff-46e4-9921-e4cc3389cced">
      <Terms xmlns="http://schemas.microsoft.com/office/infopath/2007/PartnerControls"/>
    </lcf76f155ced4ddcb4097134ff3c332f>
    <CLASSIFICATION xmlns="c09ff0d1-c1ff-46e4-9921-e4cc3389cc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D7CA9C550524E8D7E98EF55767D0D" ma:contentTypeVersion="13" ma:contentTypeDescription="Create a new document." ma:contentTypeScope="" ma:versionID="5ee2508e5d86ea4714cc37ff9a71929f">
  <xsd:schema xmlns:xsd="http://www.w3.org/2001/XMLSchema" xmlns:xs="http://www.w3.org/2001/XMLSchema" xmlns:p="http://schemas.microsoft.com/office/2006/metadata/properties" xmlns:ns2="c09ff0d1-c1ff-46e4-9921-e4cc3389cced" xmlns:ns3="7218ea1c-56da-4397-9999-006f027fbd19" targetNamespace="http://schemas.microsoft.com/office/2006/metadata/properties" ma:root="true" ma:fieldsID="610f5bad49ede4b72e4e2f00c5c4e834" ns2:_="" ns3:_="">
    <xsd:import namespace="c09ff0d1-c1ff-46e4-9921-e4cc3389cced"/>
    <xsd:import namespace="7218ea1c-56da-4397-9999-006f027fb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LASSIFICATION"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f0d1-c1ff-46e4-9921-e4cc3389c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LASSIFICATION" ma:index="12" nillable="true" ma:displayName="CLASSIFICATION" ma:internalName="CLASSIFICATION">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6b0b8c-ac45-4978-9e2e-4eaa4602cb5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8ea1c-56da-4397-9999-006f027fbd1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fb9a3d-7d8a-4b34-a469-879e6b631873}" ma:internalName="TaxCatchAll" ma:showField="CatchAllData" ma:web="7218ea1c-56da-4397-9999-006f027fb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7447E-85E3-4A2E-B4BA-997B7F84DA25}">
  <ds:schemaRefs>
    <ds:schemaRef ds:uri="http://schemas.microsoft.com/office/2006/metadata/properties"/>
    <ds:schemaRef ds:uri="http://schemas.microsoft.com/office/infopath/2007/PartnerControls"/>
    <ds:schemaRef ds:uri="7218ea1c-56da-4397-9999-006f027fbd19"/>
    <ds:schemaRef ds:uri="c09ff0d1-c1ff-46e4-9921-e4cc3389cced"/>
  </ds:schemaRefs>
</ds:datastoreItem>
</file>

<file path=customXml/itemProps2.xml><?xml version="1.0" encoding="utf-8"?>
<ds:datastoreItem xmlns:ds="http://schemas.openxmlformats.org/officeDocument/2006/customXml" ds:itemID="{1C14E5E3-14A8-4323-B23B-D870F4150783}">
  <ds:schemaRefs>
    <ds:schemaRef ds:uri="http://schemas.microsoft.com/sharepoint/v3/contenttype/forms"/>
  </ds:schemaRefs>
</ds:datastoreItem>
</file>

<file path=customXml/itemProps3.xml><?xml version="1.0" encoding="utf-8"?>
<ds:datastoreItem xmlns:ds="http://schemas.openxmlformats.org/officeDocument/2006/customXml" ds:itemID="{9B79DA0C-5ED0-4543-864E-A5AA96AFC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f0d1-c1ff-46e4-9921-e4cc3389cced"/>
    <ds:schemaRef ds:uri="7218ea1c-56da-4397-9999-006f027fb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1592</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IPTO ADMIE</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Mochianakis-Karampatzakis Antonios</dc:creator>
  <cp:keywords/>
  <dc:description/>
  <cp:lastModifiedBy>Choleva Ioanna</cp:lastModifiedBy>
  <cp:revision>55</cp:revision>
  <dcterms:created xsi:type="dcterms:W3CDTF">2026-01-30T11:37:00Z</dcterms:created>
  <dcterms:modified xsi:type="dcterms:W3CDTF">2026-02-10T07:47:00Z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2026-01-20T14:26:15Z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937ccca9-7aa4-4339-9d97-8e8b24158131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y fmtid="{D5CDD505-2E9C-101B-9397-08002B2CF9AE}" pid="10" name="MediaServiceImageTags">
    <vt:lpwstr/>
  </property>
  <property fmtid="{D5CDD505-2E9C-101B-9397-08002B2CF9AE}" pid="11" name="ContentTypeId">
    <vt:lpwstr>0x010100EDFD7CA9C550524E8D7E98EF55767D0D</vt:lpwstr>
  </property>
</Properties>
</file>