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F065" w14:textId="004DBF2B" w:rsidR="001941E8" w:rsidRPr="00E2296D" w:rsidRDefault="00790868" w:rsidP="002B0584">
      <w:pPr>
        <w:spacing w:after="0" w:line="240" w:lineRule="auto"/>
        <w:jc w:val="center"/>
        <w:rPr>
          <w:rFonts w:ascii="Verdana" w:eastAsia="Times New Roman" w:hAnsi="Verdana" w:cs="Arial"/>
          <w:b/>
          <w:bCs/>
          <w:color w:val="FF0000"/>
          <w:sz w:val="20"/>
          <w:szCs w:val="20"/>
          <w:lang w:val="en-US" w:eastAsia="el-GR"/>
        </w:rPr>
      </w:pPr>
      <w:r w:rsidRPr="00E2296D">
        <w:rPr>
          <w:rFonts w:ascii="Verdana" w:eastAsia="Times New Roman" w:hAnsi="Verdana" w:cs="Arial"/>
          <w:b/>
          <w:bCs/>
          <w:color w:val="FF0000"/>
          <w:sz w:val="20"/>
          <w:szCs w:val="20"/>
          <w:lang w:val="en-US" w:eastAsia="el-GR"/>
        </w:rPr>
        <w:t xml:space="preserve">                                                                                                  </w:t>
      </w:r>
    </w:p>
    <w:p w14:paraId="24F22136" w14:textId="3F697ECC" w:rsidR="005157AE" w:rsidRPr="00E2296D" w:rsidRDefault="00790868" w:rsidP="005157AE">
      <w:pPr>
        <w:spacing w:after="0" w:line="240" w:lineRule="auto"/>
        <w:jc w:val="center"/>
        <w:rPr>
          <w:rFonts w:ascii="Verdana" w:eastAsia="Times New Roman" w:hAnsi="Verdana" w:cs="Arial"/>
          <w:color w:val="6A737B"/>
          <w:sz w:val="18"/>
          <w:szCs w:val="18"/>
          <w:lang w:val="en-US" w:eastAsia="el-GR"/>
        </w:rPr>
      </w:pPr>
      <w:r w:rsidRPr="00E2296D">
        <w:rPr>
          <w:rFonts w:ascii="Verdana" w:eastAsia="Times New Roman" w:hAnsi="Verdana" w:cs="Arial"/>
          <w:b/>
          <w:bCs/>
          <w:color w:val="FF0000"/>
          <w:sz w:val="20"/>
          <w:szCs w:val="20"/>
          <w:lang w:val="en-US" w:eastAsia="el-GR"/>
        </w:rPr>
        <w:t xml:space="preserve">                                                             </w:t>
      </w:r>
    </w:p>
    <w:p w14:paraId="0810CF03" w14:textId="77777777" w:rsidR="005157AE" w:rsidRPr="00E2296D" w:rsidRDefault="005157AE" w:rsidP="005157AE">
      <w:pPr>
        <w:framePr w:hSpace="180" w:wrap="around" w:hAnchor="margin" w:y="495"/>
        <w:spacing w:after="120" w:line="360" w:lineRule="auto"/>
        <w:ind w:left="-284"/>
        <w:jc w:val="both"/>
        <w:rPr>
          <w:rFonts w:ascii="Roboto" w:hAnsi="Roboto" w:cs="Arial"/>
          <w:color w:val="808080" w:themeColor="background1" w:themeShade="80"/>
          <w:sz w:val="18"/>
          <w:szCs w:val="18"/>
          <w:lang w:val="en-US" w:eastAsia="el-GR"/>
        </w:rPr>
      </w:pPr>
    </w:p>
    <w:p w14:paraId="3B211744" w14:textId="77777777" w:rsidR="00E2296D" w:rsidRPr="00571369" w:rsidRDefault="00E2296D" w:rsidP="00E2296D">
      <w:pPr>
        <w:pStyle w:val="ab"/>
        <w:spacing w:before="180" w:line="218" w:lineRule="auto"/>
        <w:ind w:left="511" w:right="169"/>
        <w:jc w:val="both"/>
        <w:rPr>
          <w:lang w:val="en-US"/>
        </w:rPr>
      </w:pPr>
      <w:r>
        <w:rPr>
          <w:lang w:val="en-US" w:bidi="en-US"/>
        </w:rPr>
        <w:t xml:space="preserve">According to the specifications of this Technical Decision, the Balancing Service Provider is obliged to prepare and submit to the HETS Operator a technical report per Dispatchable Storage Portfolio, Dispatchable Non-Intermittent Generation Portfolio, Dispatchable Intermittent Generation Portfolio and Dispatchable Load Portfolio, </w:t>
      </w:r>
      <w:proofErr w:type="spellStart"/>
      <w:r>
        <w:rPr>
          <w:lang w:val="en-US" w:bidi="en-US"/>
        </w:rPr>
        <w:t>analysing</w:t>
      </w:r>
      <w:proofErr w:type="spellEnd"/>
      <w:r>
        <w:rPr>
          <w:lang w:val="en-US" w:bidi="en-US"/>
        </w:rPr>
        <w:t xml:space="preserve"> the technical readiness of the portfolio for the provision of Balancing Services.</w:t>
      </w:r>
    </w:p>
    <w:p w14:paraId="7F865D99" w14:textId="77777777" w:rsidR="00E2296D" w:rsidRPr="00571369" w:rsidRDefault="00E2296D" w:rsidP="00E2296D">
      <w:pPr>
        <w:pStyle w:val="ab"/>
        <w:spacing w:before="158" w:line="218" w:lineRule="auto"/>
        <w:ind w:left="511" w:right="167"/>
        <w:jc w:val="both"/>
        <w:rPr>
          <w:lang w:val="en-US"/>
        </w:rPr>
      </w:pPr>
      <w:r>
        <w:rPr>
          <w:lang w:val="en-US" w:bidi="en-US"/>
        </w:rPr>
        <w:t xml:space="preserve">The technical report is </w:t>
      </w:r>
      <w:proofErr w:type="gramStart"/>
      <w:r>
        <w:rPr>
          <w:lang w:val="en-US" w:bidi="en-US"/>
        </w:rPr>
        <w:t>a proof</w:t>
      </w:r>
      <w:proofErr w:type="gramEnd"/>
      <w:r>
        <w:rPr>
          <w:lang w:val="en-US" w:bidi="en-US"/>
        </w:rPr>
        <w:t xml:space="preserve"> of the portfolio capability to comply with the relevant requirements of the Balancing Market Rulebook, as per its declared Registered Characteristics, which are confirmed and updated as required after carrying out the necessary tests.</w:t>
      </w:r>
    </w:p>
    <w:p w14:paraId="60C1A4E0" w14:textId="77777777" w:rsidR="00E2296D" w:rsidRPr="00571369" w:rsidRDefault="00E2296D" w:rsidP="00E2296D">
      <w:pPr>
        <w:pStyle w:val="ab"/>
        <w:spacing w:before="162" w:line="218" w:lineRule="auto"/>
        <w:ind w:left="511" w:right="164"/>
        <w:jc w:val="both"/>
        <w:rPr>
          <w:lang w:val="en-US"/>
        </w:rPr>
      </w:pPr>
      <w:r>
        <w:rPr>
          <w:lang w:val="en-US" w:bidi="en-US"/>
        </w:rPr>
        <w:t xml:space="preserve">Apart from the technical report, when applying for pre-registration with the Registry, the Balancing Service Provider shall submit to the HETS Operator all the necessary evidence and certificates for its equipment (including any flow diagrams and description of infrastructure as required) to document the readiness of operation of each </w:t>
      </w:r>
      <w:proofErr w:type="gramStart"/>
      <w:r>
        <w:rPr>
          <w:lang w:val="en-US" w:bidi="en-US"/>
        </w:rPr>
        <w:t>represented portfolio</w:t>
      </w:r>
      <w:proofErr w:type="gramEnd"/>
      <w:r>
        <w:rPr>
          <w:lang w:val="en-US" w:bidi="en-US"/>
        </w:rPr>
        <w:t>.</w:t>
      </w:r>
    </w:p>
    <w:p w14:paraId="7FDF0D99" w14:textId="77777777" w:rsidR="00E2296D" w:rsidRPr="00571369" w:rsidRDefault="00E2296D" w:rsidP="00E2296D">
      <w:pPr>
        <w:pStyle w:val="ab"/>
        <w:spacing w:before="135"/>
        <w:ind w:left="0"/>
        <w:rPr>
          <w:lang w:val="en-US"/>
        </w:rPr>
      </w:pPr>
    </w:p>
    <w:p w14:paraId="2B1999D3" w14:textId="77777777" w:rsidR="00E2296D" w:rsidRDefault="00E2296D" w:rsidP="00E2296D">
      <w:pPr>
        <w:pStyle w:val="3"/>
      </w:pPr>
      <w:r>
        <w:rPr>
          <w:lang w:val="en-US" w:bidi="en-US"/>
        </w:rPr>
        <w:t>Requested Information</w:t>
      </w:r>
    </w:p>
    <w:p w14:paraId="102EF538" w14:textId="77777777" w:rsidR="00E2296D" w:rsidRDefault="00E2296D" w:rsidP="00E2296D">
      <w:pPr>
        <w:spacing w:line="252" w:lineRule="exact"/>
        <w:ind w:left="511"/>
        <w:rPr>
          <w:rFonts w:ascii="Arial" w:hAnsi="Arial"/>
          <w:i/>
        </w:rPr>
      </w:pPr>
      <w:r>
        <w:rPr>
          <w:i/>
          <w:lang w:val="en-US" w:bidi="en-US"/>
        </w:rPr>
        <w:t>General Information:</w:t>
      </w:r>
    </w:p>
    <w:p w14:paraId="74821658" w14:textId="77777777" w:rsidR="00E2296D" w:rsidRPr="00571369" w:rsidRDefault="00E2296D" w:rsidP="00E2296D">
      <w:pPr>
        <w:pStyle w:val="aa"/>
        <w:widowControl w:val="0"/>
        <w:numPr>
          <w:ilvl w:val="0"/>
          <w:numId w:val="4"/>
        </w:numPr>
        <w:tabs>
          <w:tab w:val="left" w:pos="1231"/>
        </w:tabs>
        <w:autoSpaceDE w:val="0"/>
        <w:autoSpaceDN w:val="0"/>
        <w:spacing w:before="162"/>
        <w:contextualSpacing w:val="0"/>
        <w:rPr>
          <w:lang w:val="en-US"/>
        </w:rPr>
      </w:pPr>
      <w:r>
        <w:rPr>
          <w:spacing w:val="-2"/>
          <w:lang w:val="en-US" w:bidi="en-US"/>
        </w:rPr>
        <w:t>Name or trade Name of the Balancing Service Provider</w:t>
      </w:r>
    </w:p>
    <w:p w14:paraId="3DA0263B" w14:textId="77777777" w:rsidR="00E2296D" w:rsidRPr="00571369" w:rsidRDefault="00E2296D" w:rsidP="00E2296D">
      <w:pPr>
        <w:pStyle w:val="aa"/>
        <w:widowControl w:val="0"/>
        <w:numPr>
          <w:ilvl w:val="0"/>
          <w:numId w:val="4"/>
        </w:numPr>
        <w:tabs>
          <w:tab w:val="left" w:pos="1231"/>
        </w:tabs>
        <w:autoSpaceDE w:val="0"/>
        <w:autoSpaceDN w:val="0"/>
        <w:spacing w:before="155"/>
        <w:contextualSpacing w:val="0"/>
        <w:rPr>
          <w:lang w:val="en-US"/>
        </w:rPr>
      </w:pPr>
      <w:r>
        <w:rPr>
          <w:spacing w:val="-2"/>
          <w:lang w:val="en-US" w:bidi="en-US"/>
        </w:rPr>
        <w:t>EIC Code of the Balancing Service Provider</w:t>
      </w:r>
    </w:p>
    <w:p w14:paraId="43E76D71" w14:textId="77777777" w:rsidR="00E2296D" w:rsidRPr="00571369" w:rsidRDefault="00E2296D" w:rsidP="00E2296D">
      <w:pPr>
        <w:pStyle w:val="aa"/>
        <w:widowControl w:val="0"/>
        <w:numPr>
          <w:ilvl w:val="0"/>
          <w:numId w:val="4"/>
        </w:numPr>
        <w:tabs>
          <w:tab w:val="left" w:pos="1231"/>
        </w:tabs>
        <w:autoSpaceDE w:val="0"/>
        <w:autoSpaceDN w:val="0"/>
        <w:spacing w:before="154"/>
        <w:contextualSpacing w:val="0"/>
        <w:rPr>
          <w:lang w:val="en-US"/>
        </w:rPr>
      </w:pPr>
      <w:r>
        <w:rPr>
          <w:lang w:val="en-US" w:bidi="en-US"/>
        </w:rPr>
        <w:t>Type and Name of the portfolio</w:t>
      </w:r>
    </w:p>
    <w:p w14:paraId="205E50E2" w14:textId="77777777" w:rsidR="00E2296D" w:rsidRPr="00571369" w:rsidRDefault="00E2296D" w:rsidP="00E2296D">
      <w:pPr>
        <w:pStyle w:val="ab"/>
        <w:spacing w:before="118"/>
        <w:ind w:left="0"/>
        <w:rPr>
          <w:lang w:val="en-US"/>
        </w:rPr>
      </w:pPr>
    </w:p>
    <w:p w14:paraId="5D51B6DB" w14:textId="77777777" w:rsidR="00E2296D" w:rsidRPr="00571369" w:rsidRDefault="00E2296D" w:rsidP="00E2296D">
      <w:pPr>
        <w:ind w:left="511"/>
        <w:rPr>
          <w:rFonts w:ascii="Arial" w:hAnsi="Arial"/>
          <w:i/>
          <w:lang w:val="en-US"/>
        </w:rPr>
      </w:pPr>
      <w:r>
        <w:rPr>
          <w:i/>
          <w:lang w:val="en-US" w:bidi="en-US"/>
        </w:rPr>
        <w:t>Balancing Service Provision:</w:t>
      </w:r>
    </w:p>
    <w:p w14:paraId="22E0D7B6" w14:textId="77777777" w:rsidR="00E2296D" w:rsidRPr="00571369" w:rsidRDefault="00E2296D" w:rsidP="00E2296D">
      <w:pPr>
        <w:pStyle w:val="ab"/>
        <w:spacing w:before="159" w:line="218" w:lineRule="auto"/>
        <w:ind w:left="511" w:right="168"/>
        <w:jc w:val="both"/>
        <w:rPr>
          <w:lang w:val="en-US"/>
        </w:rPr>
      </w:pPr>
      <w:r>
        <w:rPr>
          <w:lang w:val="en-US" w:bidi="en-US"/>
        </w:rPr>
        <w:t>The following information shall be at least submitted (along with the relevant manufacturer’s manuals, flow diagrams. single-line diagrams, certifications or other appropriate documents):</w:t>
      </w:r>
    </w:p>
    <w:p w14:paraId="26C02707" w14:textId="77777777" w:rsidR="00E2296D" w:rsidRPr="00571369" w:rsidRDefault="00E2296D" w:rsidP="00E2296D">
      <w:pPr>
        <w:pStyle w:val="aa"/>
        <w:widowControl w:val="0"/>
        <w:numPr>
          <w:ilvl w:val="0"/>
          <w:numId w:val="4"/>
        </w:numPr>
        <w:tabs>
          <w:tab w:val="left" w:pos="1231"/>
        </w:tabs>
        <w:autoSpaceDE w:val="0"/>
        <w:autoSpaceDN w:val="0"/>
        <w:spacing w:before="183" w:line="218" w:lineRule="auto"/>
        <w:ind w:right="169"/>
        <w:contextualSpacing w:val="0"/>
        <w:jc w:val="both"/>
        <w:rPr>
          <w:lang w:val="en-US"/>
        </w:rPr>
      </w:pPr>
      <w:r>
        <w:rPr>
          <w:lang w:val="en-US" w:bidi="en-US"/>
        </w:rPr>
        <w:t>Documentation to support the capability to provide Balancing Energy and Balancing Capacity for all the relevant products that can be provided by the portfolio.</w:t>
      </w:r>
    </w:p>
    <w:p w14:paraId="34A5FD14" w14:textId="77777777" w:rsidR="00E2296D" w:rsidRPr="00571369" w:rsidRDefault="00E2296D" w:rsidP="00E2296D">
      <w:pPr>
        <w:pStyle w:val="aa"/>
        <w:widowControl w:val="0"/>
        <w:numPr>
          <w:ilvl w:val="0"/>
          <w:numId w:val="4"/>
        </w:numPr>
        <w:tabs>
          <w:tab w:val="left" w:pos="1231"/>
        </w:tabs>
        <w:autoSpaceDE w:val="0"/>
        <w:autoSpaceDN w:val="0"/>
        <w:spacing w:before="181" w:line="218" w:lineRule="auto"/>
        <w:ind w:right="167"/>
        <w:contextualSpacing w:val="0"/>
        <w:jc w:val="both"/>
        <w:rPr>
          <w:lang w:val="en-US"/>
        </w:rPr>
      </w:pPr>
      <w:r>
        <w:rPr>
          <w:lang w:val="en-US" w:bidi="en-US"/>
        </w:rPr>
        <w:t>Documentation to support the value of the Registered Characteristics of the portfolio that are already known, in accordance with the Table of Registered Characteristics of this Technical Decision, as they were submitted at the stage of pre-registration of the portfolio with the HETS Operator Registry.</w:t>
      </w:r>
    </w:p>
    <w:p w14:paraId="5EEAB152" w14:textId="77777777" w:rsidR="00E2296D" w:rsidRPr="00571369" w:rsidRDefault="00E2296D" w:rsidP="00E2296D">
      <w:pPr>
        <w:pStyle w:val="aa"/>
        <w:widowControl w:val="0"/>
        <w:numPr>
          <w:ilvl w:val="0"/>
          <w:numId w:val="4"/>
        </w:numPr>
        <w:tabs>
          <w:tab w:val="left" w:pos="1231"/>
        </w:tabs>
        <w:autoSpaceDE w:val="0"/>
        <w:autoSpaceDN w:val="0"/>
        <w:spacing w:before="183" w:line="218" w:lineRule="auto"/>
        <w:ind w:right="167"/>
        <w:contextualSpacing w:val="0"/>
        <w:jc w:val="both"/>
        <w:rPr>
          <w:lang w:val="en-US"/>
        </w:rPr>
      </w:pPr>
      <w:r>
        <w:rPr>
          <w:lang w:val="en-US" w:bidi="en-US"/>
        </w:rPr>
        <w:t>A description of the systems used for communication with the Balancing Market Operating and Dispatch Instruction System.</w:t>
      </w:r>
    </w:p>
    <w:p w14:paraId="6CA17472" w14:textId="77777777" w:rsidR="00E2296D" w:rsidRPr="00571369" w:rsidRDefault="00E2296D" w:rsidP="00E2296D">
      <w:pPr>
        <w:pStyle w:val="aa"/>
        <w:widowControl w:val="0"/>
        <w:numPr>
          <w:ilvl w:val="0"/>
          <w:numId w:val="4"/>
        </w:numPr>
        <w:tabs>
          <w:tab w:val="left" w:pos="1231"/>
        </w:tabs>
        <w:autoSpaceDE w:val="0"/>
        <w:autoSpaceDN w:val="0"/>
        <w:spacing w:before="183" w:line="218" w:lineRule="auto"/>
        <w:ind w:right="171"/>
        <w:contextualSpacing w:val="0"/>
        <w:jc w:val="both"/>
        <w:rPr>
          <w:lang w:val="en-US"/>
        </w:rPr>
      </w:pPr>
      <w:r>
        <w:rPr>
          <w:lang w:val="en-US" w:bidi="en-US"/>
        </w:rPr>
        <w:t>A description of the facilities and of the control and telemetry systems whereby the Dispatch Instructions sent by the HETS Operator in the context of the Balancing Market are executed and Balancing Energy and Capacity are provided.</w:t>
      </w:r>
    </w:p>
    <w:p w14:paraId="08FD3B91" w14:textId="77777777" w:rsidR="00E2296D" w:rsidRPr="00571369" w:rsidRDefault="00E2296D" w:rsidP="00E2296D">
      <w:pPr>
        <w:pStyle w:val="aa"/>
        <w:widowControl w:val="0"/>
        <w:numPr>
          <w:ilvl w:val="0"/>
          <w:numId w:val="4"/>
        </w:numPr>
        <w:tabs>
          <w:tab w:val="left" w:pos="1231"/>
        </w:tabs>
        <w:autoSpaceDE w:val="0"/>
        <w:autoSpaceDN w:val="0"/>
        <w:spacing w:before="180" w:line="218" w:lineRule="auto"/>
        <w:ind w:right="172"/>
        <w:contextualSpacing w:val="0"/>
        <w:rPr>
          <w:lang w:val="en-US"/>
        </w:rPr>
      </w:pPr>
      <w:r>
        <w:rPr>
          <w:lang w:val="en-US" w:bidi="en-US"/>
        </w:rPr>
        <w:t xml:space="preserve">A description of the procedures to be applied in the event of errors in </w:t>
      </w:r>
      <w:proofErr w:type="gramStart"/>
      <w:r>
        <w:rPr>
          <w:lang w:val="en-US" w:bidi="en-US"/>
        </w:rPr>
        <w:t>the communication</w:t>
      </w:r>
      <w:proofErr w:type="gramEnd"/>
      <w:r>
        <w:rPr>
          <w:lang w:val="en-US" w:bidi="en-US"/>
        </w:rPr>
        <w:t xml:space="preserve"> with the HETS Operator or other failure situations.</w:t>
      </w:r>
    </w:p>
    <w:p w14:paraId="4EE07433" w14:textId="0DB8BC2F" w:rsidR="006F581C" w:rsidRPr="00E2296D" w:rsidRDefault="006F581C" w:rsidP="00E2296D">
      <w:pPr>
        <w:spacing w:before="160"/>
        <w:jc w:val="both"/>
        <w:rPr>
          <w:rFonts w:ascii="Roboto" w:hAnsi="Roboto"/>
          <w:sz w:val="20"/>
          <w:szCs w:val="20"/>
          <w:lang w:val="en-US"/>
        </w:rPr>
      </w:pPr>
    </w:p>
    <w:sectPr w:rsidR="006F581C" w:rsidRPr="00E2296D" w:rsidSect="009C513B">
      <w:headerReference w:type="default" r:id="rId8"/>
      <w:footerReference w:type="default" r:id="rId9"/>
      <w:pgSz w:w="11906" w:h="16838"/>
      <w:pgMar w:top="1440"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BBC9" w14:textId="77777777" w:rsidR="00410ECC" w:rsidRDefault="00410ECC" w:rsidP="001941E8">
      <w:pPr>
        <w:spacing w:after="0" w:line="240" w:lineRule="auto"/>
      </w:pPr>
      <w:r>
        <w:separator/>
      </w:r>
    </w:p>
  </w:endnote>
  <w:endnote w:type="continuationSeparator" w:id="0">
    <w:p w14:paraId="698014FB" w14:textId="77777777" w:rsidR="00410ECC" w:rsidRDefault="00410ECC" w:rsidP="0019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A1"/>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B696" w14:textId="05775960" w:rsidR="001941E8" w:rsidRPr="00E73EAF" w:rsidRDefault="001941E8" w:rsidP="00E73E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0512" w14:textId="77777777" w:rsidR="00410ECC" w:rsidRDefault="00410ECC" w:rsidP="001941E8">
      <w:pPr>
        <w:spacing w:after="0" w:line="240" w:lineRule="auto"/>
      </w:pPr>
      <w:r>
        <w:separator/>
      </w:r>
    </w:p>
  </w:footnote>
  <w:footnote w:type="continuationSeparator" w:id="0">
    <w:p w14:paraId="42A3F655" w14:textId="77777777" w:rsidR="00410ECC" w:rsidRDefault="00410ECC" w:rsidP="0019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A997" w14:textId="77777777" w:rsidR="00904BDF" w:rsidRDefault="00F91F04" w:rsidP="00F91F04">
    <w:pPr>
      <w:pStyle w:val="a4"/>
      <w:ind w:left="-567"/>
    </w:pPr>
    <w:r>
      <w:rPr>
        <w:noProof/>
        <w:lang w:eastAsia="el-GR"/>
      </w:rPr>
      <w:drawing>
        <wp:inline distT="0" distB="0" distL="0" distR="0" wp14:anchorId="7CF2BC70" wp14:editId="07340229">
          <wp:extent cx="15525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5A8"/>
    <w:multiLevelType w:val="hybridMultilevel"/>
    <w:tmpl w:val="E89ADE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86A70C8"/>
    <w:multiLevelType w:val="hybridMultilevel"/>
    <w:tmpl w:val="0114BBC2"/>
    <w:lvl w:ilvl="0" w:tplc="84D20646">
      <w:numFmt w:val="bullet"/>
      <w:lvlText w:val="-"/>
      <w:lvlJc w:val="left"/>
      <w:pPr>
        <w:ind w:left="1231" w:hanging="360"/>
      </w:pPr>
      <w:rPr>
        <w:rFonts w:ascii="Segoe UI Semilight" w:eastAsia="Segoe UI Semilight" w:hAnsi="Segoe UI Semilight" w:cs="Segoe UI Semilight" w:hint="default"/>
        <w:b w:val="0"/>
        <w:bCs w:val="0"/>
        <w:i w:val="0"/>
        <w:iCs w:val="0"/>
        <w:spacing w:val="0"/>
        <w:w w:val="100"/>
        <w:sz w:val="22"/>
        <w:szCs w:val="22"/>
        <w:lang w:val="el-GR" w:eastAsia="en-US" w:bidi="ar-SA"/>
      </w:rPr>
    </w:lvl>
    <w:lvl w:ilvl="1" w:tplc="2446F856">
      <w:numFmt w:val="bullet"/>
      <w:lvlText w:val="•"/>
      <w:lvlJc w:val="left"/>
      <w:pPr>
        <w:ind w:left="2136" w:hanging="360"/>
      </w:pPr>
      <w:rPr>
        <w:rFonts w:hint="default"/>
        <w:lang w:val="el-GR" w:eastAsia="en-US" w:bidi="ar-SA"/>
      </w:rPr>
    </w:lvl>
    <w:lvl w:ilvl="2" w:tplc="BE4288CA">
      <w:numFmt w:val="bullet"/>
      <w:lvlText w:val="•"/>
      <w:lvlJc w:val="left"/>
      <w:pPr>
        <w:ind w:left="3033" w:hanging="360"/>
      </w:pPr>
      <w:rPr>
        <w:rFonts w:hint="default"/>
        <w:lang w:val="el-GR" w:eastAsia="en-US" w:bidi="ar-SA"/>
      </w:rPr>
    </w:lvl>
    <w:lvl w:ilvl="3" w:tplc="4B6A91E2">
      <w:numFmt w:val="bullet"/>
      <w:lvlText w:val="•"/>
      <w:lvlJc w:val="left"/>
      <w:pPr>
        <w:ind w:left="3929" w:hanging="360"/>
      </w:pPr>
      <w:rPr>
        <w:rFonts w:hint="default"/>
        <w:lang w:val="el-GR" w:eastAsia="en-US" w:bidi="ar-SA"/>
      </w:rPr>
    </w:lvl>
    <w:lvl w:ilvl="4" w:tplc="0EC864DE">
      <w:numFmt w:val="bullet"/>
      <w:lvlText w:val="•"/>
      <w:lvlJc w:val="left"/>
      <w:pPr>
        <w:ind w:left="4826" w:hanging="360"/>
      </w:pPr>
      <w:rPr>
        <w:rFonts w:hint="default"/>
        <w:lang w:val="el-GR" w:eastAsia="en-US" w:bidi="ar-SA"/>
      </w:rPr>
    </w:lvl>
    <w:lvl w:ilvl="5" w:tplc="259886C0">
      <w:numFmt w:val="bullet"/>
      <w:lvlText w:val="•"/>
      <w:lvlJc w:val="left"/>
      <w:pPr>
        <w:ind w:left="5723" w:hanging="360"/>
      </w:pPr>
      <w:rPr>
        <w:rFonts w:hint="default"/>
        <w:lang w:val="el-GR" w:eastAsia="en-US" w:bidi="ar-SA"/>
      </w:rPr>
    </w:lvl>
    <w:lvl w:ilvl="6" w:tplc="F86C0FB4">
      <w:numFmt w:val="bullet"/>
      <w:lvlText w:val="•"/>
      <w:lvlJc w:val="left"/>
      <w:pPr>
        <w:ind w:left="6619" w:hanging="360"/>
      </w:pPr>
      <w:rPr>
        <w:rFonts w:hint="default"/>
        <w:lang w:val="el-GR" w:eastAsia="en-US" w:bidi="ar-SA"/>
      </w:rPr>
    </w:lvl>
    <w:lvl w:ilvl="7" w:tplc="E47C1A60">
      <w:numFmt w:val="bullet"/>
      <w:lvlText w:val="•"/>
      <w:lvlJc w:val="left"/>
      <w:pPr>
        <w:ind w:left="7516" w:hanging="360"/>
      </w:pPr>
      <w:rPr>
        <w:rFonts w:hint="default"/>
        <w:lang w:val="el-GR" w:eastAsia="en-US" w:bidi="ar-SA"/>
      </w:rPr>
    </w:lvl>
    <w:lvl w:ilvl="8" w:tplc="4CD2A150">
      <w:numFmt w:val="bullet"/>
      <w:lvlText w:val="•"/>
      <w:lvlJc w:val="left"/>
      <w:pPr>
        <w:ind w:left="8413" w:hanging="360"/>
      </w:pPr>
      <w:rPr>
        <w:rFonts w:hint="default"/>
        <w:lang w:val="el-GR" w:eastAsia="en-US" w:bidi="ar-SA"/>
      </w:rPr>
    </w:lvl>
  </w:abstractNum>
  <w:abstractNum w:abstractNumId="2" w15:restartNumberingAfterBreak="0">
    <w:nsid w:val="4F7C081F"/>
    <w:multiLevelType w:val="multilevel"/>
    <w:tmpl w:val="DAFA41CC"/>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Roboto" w:hAnsi="Roboto" w:hint="default"/>
        <w:sz w:val="24"/>
        <w:szCs w:val="24"/>
      </w:rPr>
    </w:lvl>
    <w:lvl w:ilvl="2">
      <w:start w:val="1"/>
      <w:numFmt w:val="decimal"/>
      <w:lvlText w:val="%1.%2.%3"/>
      <w:lvlJc w:val="left"/>
      <w:pPr>
        <w:ind w:left="720" w:hanging="720"/>
      </w:pPr>
      <w:rPr>
        <w:rFonts w:ascii="Roboto" w:hAnsi="Roboto" w:cs="Arial" w:hint="default"/>
        <w:b/>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DD853FF"/>
    <w:multiLevelType w:val="hybridMultilevel"/>
    <w:tmpl w:val="97A4ED4C"/>
    <w:lvl w:ilvl="0" w:tplc="1E6C6360">
      <w:numFmt w:val="bullet"/>
      <w:lvlText w:val="-"/>
      <w:lvlJc w:val="left"/>
      <w:pPr>
        <w:ind w:left="720" w:hanging="360"/>
      </w:pPr>
      <w:rPr>
        <w:rFonts w:ascii="Segoe UI Semilight" w:eastAsiaTheme="minorHAnsi" w:hAnsi="Segoe UI Semilight" w:cs="Segoe UI Semilight" w:hint="default"/>
        <w:lang w:val="el-GR"/>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977723">
    <w:abstractNumId w:val="0"/>
  </w:num>
  <w:num w:numId="2" w16cid:durableId="1482576123">
    <w:abstractNumId w:val="2"/>
  </w:num>
  <w:num w:numId="3" w16cid:durableId="277414067">
    <w:abstractNumId w:val="3"/>
  </w:num>
  <w:num w:numId="4" w16cid:durableId="76699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B6"/>
    <w:rsid w:val="0001265E"/>
    <w:rsid w:val="000975B0"/>
    <w:rsid w:val="00134E03"/>
    <w:rsid w:val="001739C2"/>
    <w:rsid w:val="001941E8"/>
    <w:rsid w:val="002B0584"/>
    <w:rsid w:val="00410ECC"/>
    <w:rsid w:val="00440809"/>
    <w:rsid w:val="00485504"/>
    <w:rsid w:val="004F0953"/>
    <w:rsid w:val="005157AE"/>
    <w:rsid w:val="00525F6F"/>
    <w:rsid w:val="005619E9"/>
    <w:rsid w:val="00575CFC"/>
    <w:rsid w:val="005871C7"/>
    <w:rsid w:val="005B34CA"/>
    <w:rsid w:val="00643403"/>
    <w:rsid w:val="006B4CEF"/>
    <w:rsid w:val="006F581C"/>
    <w:rsid w:val="0070136D"/>
    <w:rsid w:val="00790868"/>
    <w:rsid w:val="00812E0A"/>
    <w:rsid w:val="00822B9E"/>
    <w:rsid w:val="008645F9"/>
    <w:rsid w:val="008B17D8"/>
    <w:rsid w:val="008F6AEC"/>
    <w:rsid w:val="00904BDF"/>
    <w:rsid w:val="00905912"/>
    <w:rsid w:val="009271DF"/>
    <w:rsid w:val="009A2059"/>
    <w:rsid w:val="009A5232"/>
    <w:rsid w:val="009C513B"/>
    <w:rsid w:val="00A0628F"/>
    <w:rsid w:val="00AB09B6"/>
    <w:rsid w:val="00B70A00"/>
    <w:rsid w:val="00BD13FD"/>
    <w:rsid w:val="00C471B6"/>
    <w:rsid w:val="00C57B9D"/>
    <w:rsid w:val="00C75D3E"/>
    <w:rsid w:val="00CC7028"/>
    <w:rsid w:val="00CE6561"/>
    <w:rsid w:val="00D11EEA"/>
    <w:rsid w:val="00D64B4B"/>
    <w:rsid w:val="00D71CD1"/>
    <w:rsid w:val="00E02A3E"/>
    <w:rsid w:val="00E21905"/>
    <w:rsid w:val="00E2296D"/>
    <w:rsid w:val="00E4189F"/>
    <w:rsid w:val="00E73EAF"/>
    <w:rsid w:val="00EC4314"/>
    <w:rsid w:val="00F06208"/>
    <w:rsid w:val="00F342D2"/>
    <w:rsid w:val="00F91F04"/>
    <w:rsid w:val="00F94E3F"/>
    <w:rsid w:val="00F95F59"/>
    <w:rsid w:val="00FD7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0BF18"/>
  <w15:chartTrackingRefBased/>
  <w15:docId w15:val="{84CF6C56-E448-415F-A427-497DD47F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868"/>
  </w:style>
  <w:style w:type="paragraph" w:styleId="3">
    <w:name w:val="heading 3"/>
    <w:basedOn w:val="a"/>
    <w:link w:val="3Char"/>
    <w:uiPriority w:val="9"/>
    <w:unhideWhenUsed/>
    <w:qFormat/>
    <w:rsid w:val="00E2296D"/>
    <w:pPr>
      <w:widowControl w:val="0"/>
      <w:autoSpaceDE w:val="0"/>
      <w:autoSpaceDN w:val="0"/>
      <w:spacing w:after="0" w:line="252" w:lineRule="exact"/>
      <w:ind w:left="511"/>
      <w:outlineLvl w:val="2"/>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ENTSO-E Table"/>
    <w:basedOn w:val="a1"/>
    <w:uiPriority w:val="39"/>
    <w:rsid w:val="0079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941E8"/>
    <w:pPr>
      <w:tabs>
        <w:tab w:val="center" w:pos="4153"/>
        <w:tab w:val="right" w:pos="8306"/>
      </w:tabs>
      <w:spacing w:after="0" w:line="240" w:lineRule="auto"/>
    </w:pPr>
  </w:style>
  <w:style w:type="character" w:customStyle="1" w:styleId="Char">
    <w:name w:val="Κεφαλίδα Char"/>
    <w:basedOn w:val="a0"/>
    <w:link w:val="a4"/>
    <w:uiPriority w:val="99"/>
    <w:rsid w:val="001941E8"/>
  </w:style>
  <w:style w:type="paragraph" w:styleId="a5">
    <w:name w:val="footer"/>
    <w:basedOn w:val="a"/>
    <w:link w:val="Char0"/>
    <w:uiPriority w:val="99"/>
    <w:unhideWhenUsed/>
    <w:rsid w:val="001941E8"/>
    <w:pPr>
      <w:tabs>
        <w:tab w:val="center" w:pos="4153"/>
        <w:tab w:val="right" w:pos="8306"/>
      </w:tabs>
      <w:spacing w:after="0" w:line="240" w:lineRule="auto"/>
    </w:pPr>
  </w:style>
  <w:style w:type="character" w:customStyle="1" w:styleId="Char0">
    <w:name w:val="Υποσέλιδο Char"/>
    <w:basedOn w:val="a0"/>
    <w:link w:val="a5"/>
    <w:uiPriority w:val="99"/>
    <w:rsid w:val="001941E8"/>
  </w:style>
  <w:style w:type="paragraph" w:styleId="a6">
    <w:name w:val="Balloon Text"/>
    <w:basedOn w:val="a"/>
    <w:link w:val="Char1"/>
    <w:uiPriority w:val="99"/>
    <w:semiHidden/>
    <w:unhideWhenUsed/>
    <w:rsid w:val="00F06208"/>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F06208"/>
    <w:rPr>
      <w:rFonts w:ascii="Segoe UI" w:hAnsi="Segoe UI" w:cs="Segoe UI"/>
      <w:sz w:val="18"/>
      <w:szCs w:val="18"/>
    </w:rPr>
  </w:style>
  <w:style w:type="character" w:styleId="-">
    <w:name w:val="Hyperlink"/>
    <w:basedOn w:val="a0"/>
    <w:uiPriority w:val="99"/>
    <w:unhideWhenUsed/>
    <w:rsid w:val="00BD13FD"/>
    <w:rPr>
      <w:color w:val="0563C1" w:themeColor="hyperlink"/>
      <w:u w:val="single"/>
    </w:rPr>
  </w:style>
  <w:style w:type="paragraph" w:styleId="a7">
    <w:name w:val="footnote text"/>
    <w:aliases w:val="footnotes"/>
    <w:basedOn w:val="a"/>
    <w:link w:val="Char2"/>
    <w:uiPriority w:val="99"/>
    <w:semiHidden/>
    <w:rsid w:val="00F94E3F"/>
    <w:pPr>
      <w:spacing w:after="0" w:line="240" w:lineRule="auto"/>
    </w:pPr>
    <w:rPr>
      <w:rFonts w:ascii="Times New Roman" w:eastAsia="Times New Roman" w:hAnsi="Times New Roman" w:cs="Times New Roman"/>
      <w:sz w:val="19"/>
      <w:szCs w:val="20"/>
      <w:lang w:val="en-GB" w:eastAsia="de-DE"/>
    </w:rPr>
  </w:style>
  <w:style w:type="character" w:customStyle="1" w:styleId="Char2">
    <w:name w:val="Κείμενο υποσημείωσης Char"/>
    <w:aliases w:val="footnotes Char"/>
    <w:basedOn w:val="a0"/>
    <w:link w:val="a7"/>
    <w:uiPriority w:val="99"/>
    <w:semiHidden/>
    <w:rsid w:val="00F94E3F"/>
    <w:rPr>
      <w:rFonts w:ascii="Times New Roman" w:eastAsia="Times New Roman" w:hAnsi="Times New Roman" w:cs="Times New Roman"/>
      <w:sz w:val="19"/>
      <w:szCs w:val="20"/>
      <w:lang w:val="en-GB" w:eastAsia="de-DE"/>
    </w:rPr>
  </w:style>
  <w:style w:type="character" w:styleId="a8">
    <w:name w:val="footnote reference"/>
    <w:basedOn w:val="a0"/>
    <w:uiPriority w:val="99"/>
    <w:semiHidden/>
    <w:rsid w:val="00F94E3F"/>
    <w:rPr>
      <w:vertAlign w:val="superscript"/>
    </w:rPr>
  </w:style>
  <w:style w:type="table" w:customStyle="1" w:styleId="ENTSO-ETable1">
    <w:name w:val="ENTSO-E Table1"/>
    <w:basedOn w:val="a1"/>
    <w:next w:val="a3"/>
    <w:uiPriority w:val="39"/>
    <w:rsid w:val="00F94E3F"/>
    <w:pPr>
      <w:spacing w:after="0" w:line="240" w:lineRule="auto"/>
    </w:pPr>
    <w:rPr>
      <w:rFonts w:ascii="Times New Roman" w:eastAsia="Times New Roman" w:hAnsi="Times New Roman" w:cs="Times New Roman"/>
      <w:lang w:val="de-DE" w:eastAsia="de-DE"/>
    </w:rPr>
    <w:tblPr>
      <w:tblStyleRowBandSize w:val="1"/>
      <w:tblStyleColBandSize w:val="1"/>
      <w:tblBorders>
        <w:insideV w:val="single" w:sz="12" w:space="0" w:color="FFFFFF"/>
      </w:tblBorders>
      <w:tblCellMar>
        <w:top w:w="68" w:type="dxa"/>
        <w:left w:w="57" w:type="dxa"/>
        <w:bottom w:w="68" w:type="dxa"/>
        <w:right w:w="57" w:type="dxa"/>
      </w:tblCellMar>
    </w:tblPr>
    <w:tcPr>
      <w:shd w:val="clear" w:color="auto" w:fill="auto"/>
    </w:tcPr>
    <w:tblStylePr w:type="firstRow">
      <w:rPr>
        <w:rFonts w:ascii="Arial" w:hAnsi="Arial"/>
        <w:b w:val="0"/>
        <w:color w:val="23236E"/>
        <w:sz w:val="28"/>
      </w:rPr>
      <w:tblPr/>
      <w:tcPr>
        <w:tcBorders>
          <w:top w:val="nil"/>
          <w:left w:val="nil"/>
          <w:bottom w:val="nil"/>
          <w:right w:val="nil"/>
          <w:insideH w:val="nil"/>
          <w:insideV w:val="nil"/>
          <w:tl2br w:val="nil"/>
          <w:tr2bl w:val="nil"/>
        </w:tcBorders>
      </w:tcPr>
    </w:tblStylePr>
    <w:tblStylePr w:type="lastRow">
      <w:rPr>
        <w:rFonts w:ascii="Times New Roman" w:hAnsi="Times New Roman"/>
        <w:sz w:val="22"/>
      </w:rPr>
    </w:tblStylePr>
    <w:tblStylePr w:type="firstCol">
      <w:rPr>
        <w:rFonts w:ascii="Times New Roman" w:hAnsi="Times New Roman"/>
        <w:sz w:val="22"/>
      </w:rPr>
      <w:tblPr>
        <w:tblCellMar>
          <w:top w:w="34" w:type="dxa"/>
          <w:left w:w="57" w:type="dxa"/>
          <w:bottom w:w="34" w:type="dxa"/>
          <w:right w:w="85" w:type="dxa"/>
        </w:tblCellMar>
      </w:tblPr>
    </w:tblStylePr>
    <w:tblStylePr w:type="lastCol">
      <w:rPr>
        <w:rFonts w:ascii="Times New Roman" w:hAnsi="Times New Roman"/>
        <w:sz w:val="22"/>
      </w:rPr>
    </w:tblStylePr>
    <w:tblStylePr w:type="band2Vert">
      <w:rPr>
        <w:rFonts w:ascii="Times New Roman" w:hAnsi="Times New Roman"/>
      </w:rPr>
    </w:tblStylePr>
    <w:tblStylePr w:type="band1Horz">
      <w:rPr>
        <w:rFonts w:ascii="Times New Roman" w:hAnsi="Times New Roman"/>
        <w:sz w:val="18"/>
      </w:rPr>
      <w:tblPr/>
      <w:tcPr>
        <w:shd w:val="clear" w:color="auto" w:fill="D9D9D9"/>
      </w:tcPr>
    </w:tblStylePr>
  </w:style>
  <w:style w:type="paragraph" w:customStyle="1" w:styleId="textregular">
    <w:name w:val="text regular"/>
    <w:link w:val="textregularZchn"/>
    <w:qFormat/>
    <w:rsid w:val="006F581C"/>
    <w:pPr>
      <w:spacing w:after="120" w:line="240" w:lineRule="auto"/>
      <w:jc w:val="both"/>
    </w:pPr>
    <w:rPr>
      <w:rFonts w:ascii="Times New Roman" w:eastAsia="Times New Roman" w:hAnsi="Times New Roman" w:cs="Times New Roman"/>
      <w:szCs w:val="19"/>
      <w:lang w:val="en-GB" w:eastAsia="de-DE"/>
    </w:rPr>
  </w:style>
  <w:style w:type="character" w:customStyle="1" w:styleId="textregularZchn">
    <w:name w:val="text regular Zchn"/>
    <w:basedOn w:val="a0"/>
    <w:link w:val="textregular"/>
    <w:rsid w:val="006F581C"/>
    <w:rPr>
      <w:rFonts w:ascii="Times New Roman" w:eastAsia="Times New Roman" w:hAnsi="Times New Roman" w:cs="Times New Roman"/>
      <w:szCs w:val="19"/>
      <w:lang w:val="en-GB" w:eastAsia="de-DE"/>
    </w:rPr>
  </w:style>
  <w:style w:type="paragraph" w:customStyle="1" w:styleId="headline2">
    <w:name w:val="headline 2"/>
    <w:basedOn w:val="a"/>
    <w:next w:val="a"/>
    <w:qFormat/>
    <w:rsid w:val="006F581C"/>
    <w:pPr>
      <w:keepNext/>
      <w:spacing w:before="400" w:after="120" w:line="260" w:lineRule="exact"/>
    </w:pPr>
    <w:rPr>
      <w:rFonts w:ascii="Times New Roman" w:eastAsia="Times New Roman" w:hAnsi="Times New Roman" w:cs="Times New Roman"/>
      <w:b/>
      <w:bCs/>
      <w:color w:val="1163AE"/>
      <w:sz w:val="24"/>
      <w:szCs w:val="24"/>
      <w:lang w:val="en-GB" w:eastAsia="de-DE"/>
    </w:rPr>
  </w:style>
  <w:style w:type="table" w:styleId="a9">
    <w:name w:val="Grid Table Light"/>
    <w:basedOn w:val="a1"/>
    <w:uiPriority w:val="40"/>
    <w:rsid w:val="006F581C"/>
    <w:pPr>
      <w:spacing w:after="0" w:line="240" w:lineRule="auto"/>
    </w:pPr>
    <w:rPr>
      <w:rFonts w:ascii="Times New Roman" w:eastAsia="Times New Roman" w:hAnsi="Times New Roman" w:cs="Times New Roman"/>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aliases w:val="Bullet list,Colorful List - Accent 11,Liste Niveau 1,EG Bullet 1,F List Paragraph,EX Bullet,EnTraS_Dokumentenreferenz,#Listenabsatz,Párrafo de lista1,Liststycke,Listenabsatz1,List Paragraph1,List Paragraph11,Paragrafo elenco"/>
    <w:basedOn w:val="a"/>
    <w:link w:val="Char3"/>
    <w:uiPriority w:val="1"/>
    <w:qFormat/>
    <w:rsid w:val="002B0584"/>
    <w:pPr>
      <w:spacing w:after="0" w:line="240" w:lineRule="auto"/>
      <w:ind w:left="720"/>
      <w:contextualSpacing/>
    </w:pPr>
    <w:rPr>
      <w:rFonts w:ascii="Arial" w:eastAsia="Times New Roman" w:hAnsi="Arial" w:cs="Times New Roman"/>
      <w:szCs w:val="24"/>
      <w:lang w:val="en-GB" w:eastAsia="de-DE"/>
    </w:rPr>
  </w:style>
  <w:style w:type="character" w:customStyle="1" w:styleId="Char3">
    <w:name w:val="Παράγραφος λίστας Char"/>
    <w:aliases w:val="Bullet list Char,Colorful List - Accent 11 Char,Liste Niveau 1 Char,EG Bullet 1 Char,F List Paragraph Char,EX Bullet Char,EnTraS_Dokumentenreferenz Char,#Listenabsatz Char,Párrafo de lista1 Char,Liststycke Char,Listenabsatz1 Char"/>
    <w:link w:val="aa"/>
    <w:uiPriority w:val="34"/>
    <w:qFormat/>
    <w:locked/>
    <w:rsid w:val="002B0584"/>
    <w:rPr>
      <w:rFonts w:ascii="Arial" w:eastAsia="Times New Roman" w:hAnsi="Arial" w:cs="Times New Roman"/>
      <w:szCs w:val="24"/>
      <w:lang w:val="en-GB" w:eastAsia="de-DE"/>
    </w:rPr>
  </w:style>
  <w:style w:type="character" w:customStyle="1" w:styleId="highlight">
    <w:name w:val="highlight"/>
    <w:basedOn w:val="a0"/>
    <w:rsid w:val="002B0584"/>
  </w:style>
  <w:style w:type="character" w:customStyle="1" w:styleId="markedcontent">
    <w:name w:val="markedcontent"/>
    <w:basedOn w:val="a0"/>
    <w:rsid w:val="002B0584"/>
  </w:style>
  <w:style w:type="character" w:customStyle="1" w:styleId="3Char">
    <w:name w:val="Επικεφαλίδα 3 Char"/>
    <w:basedOn w:val="a0"/>
    <w:link w:val="3"/>
    <w:uiPriority w:val="9"/>
    <w:rsid w:val="00E2296D"/>
    <w:rPr>
      <w:rFonts w:ascii="Arial" w:eastAsia="Arial" w:hAnsi="Arial" w:cs="Arial"/>
      <w:b/>
      <w:bCs/>
    </w:rPr>
  </w:style>
  <w:style w:type="paragraph" w:styleId="ab">
    <w:name w:val="Body Text"/>
    <w:basedOn w:val="a"/>
    <w:link w:val="Char4"/>
    <w:uiPriority w:val="1"/>
    <w:qFormat/>
    <w:rsid w:val="00E2296D"/>
    <w:pPr>
      <w:widowControl w:val="0"/>
      <w:autoSpaceDE w:val="0"/>
      <w:autoSpaceDN w:val="0"/>
      <w:spacing w:after="0" w:line="240" w:lineRule="auto"/>
      <w:ind w:left="1231"/>
    </w:pPr>
    <w:rPr>
      <w:rFonts w:ascii="Roboto" w:eastAsia="Roboto" w:hAnsi="Roboto" w:cs="Roboto"/>
    </w:rPr>
  </w:style>
  <w:style w:type="character" w:customStyle="1" w:styleId="Char4">
    <w:name w:val="Σώμα κειμένου Char"/>
    <w:basedOn w:val="a0"/>
    <w:link w:val="ab"/>
    <w:uiPriority w:val="1"/>
    <w:rsid w:val="00E2296D"/>
    <w:rPr>
      <w:rFonts w:ascii="Roboto" w:eastAsia="Roboto" w:hAnsi="Roboto" w:cs="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1FB9-44BD-428A-BE47-03C8A9AB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Admie</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Σπυριούνη Παναγιώτα</dc:creator>
  <cp:keywords/>
  <dc:description/>
  <cp:lastModifiedBy>Δημητρίου Ελένη</cp:lastModifiedBy>
  <cp:revision>3</cp:revision>
  <cp:lastPrinted>2020-06-24T10:13:00Z</cp:lastPrinted>
  <dcterms:created xsi:type="dcterms:W3CDTF">2026-05-06T14:48:00Z</dcterms:created>
  <dcterms:modified xsi:type="dcterms:W3CDTF">2026-05-06T14:49:00Z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2026-03-17T13:10:26Z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26198ad4-3d91-4b04-95ac-bb21cf72c8d3</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