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930A" w14:textId="77777777" w:rsidR="004B2276" w:rsidRDefault="004B2276" w:rsidP="00336447">
      <w:pPr>
        <w:pStyle w:val="1"/>
      </w:pPr>
    </w:p>
    <w:p w14:paraId="728DED90" w14:textId="77777777" w:rsidR="004B2276" w:rsidRDefault="004B2276" w:rsidP="00336447">
      <w:pPr>
        <w:pStyle w:val="1"/>
      </w:pPr>
    </w:p>
    <w:p w14:paraId="25B72B33" w14:textId="77777777" w:rsidR="004B2276" w:rsidRDefault="004B2276" w:rsidP="00336447">
      <w:pPr>
        <w:pStyle w:val="1"/>
      </w:pPr>
    </w:p>
    <w:p w14:paraId="687754D4" w14:textId="77777777" w:rsidR="004B2276" w:rsidRDefault="004B2276" w:rsidP="00336447">
      <w:pPr>
        <w:pStyle w:val="1"/>
      </w:pPr>
    </w:p>
    <w:p w14:paraId="66636805" w14:textId="77777777" w:rsidR="004B2276" w:rsidRDefault="004B2276" w:rsidP="00336447">
      <w:pPr>
        <w:pStyle w:val="1"/>
      </w:pPr>
    </w:p>
    <w:p w14:paraId="55C36321" w14:textId="77777777" w:rsidR="004B2276" w:rsidRDefault="004B2276" w:rsidP="00336447">
      <w:pPr>
        <w:pStyle w:val="1"/>
      </w:pPr>
    </w:p>
    <w:p w14:paraId="0B97EA69" w14:textId="77777777" w:rsidR="004B2276" w:rsidRDefault="004B2276" w:rsidP="00336447">
      <w:pPr>
        <w:pStyle w:val="1"/>
      </w:pPr>
    </w:p>
    <w:p w14:paraId="19F45C1C" w14:textId="4C6B2C4F" w:rsidR="00725459" w:rsidRPr="004B2276" w:rsidRDefault="00336447" w:rsidP="00336447">
      <w:pPr>
        <w:pStyle w:val="1"/>
      </w:pPr>
      <w:bookmarkStart w:id="0" w:name="_Toc49340677"/>
      <w:bookmarkStart w:id="1" w:name="_Toc51142259"/>
      <w:r w:rsidRPr="004B2276">
        <w:t xml:space="preserve">Πρόταση για τους όρους και τις μεθοδολογίες που θα αναπτυχθούν σύμφωνα με </w:t>
      </w:r>
      <w:r w:rsidR="00700EF0">
        <w:t xml:space="preserve">τις απαιτήσεις του άρθρου </w:t>
      </w:r>
      <w:r w:rsidRPr="004B2276">
        <w:t>119 του κανονισμού (ΕΕ) 2017/1485 της Επιτροπής, της 2ας Αυγούστου 2017</w:t>
      </w:r>
      <w:bookmarkEnd w:id="0"/>
      <w:bookmarkEnd w:id="1"/>
    </w:p>
    <w:p w14:paraId="4E7E5C23" w14:textId="77777777" w:rsidR="00336447" w:rsidRPr="004B2276" w:rsidRDefault="00336447" w:rsidP="00336447"/>
    <w:p w14:paraId="60A18CDF" w14:textId="77777777" w:rsidR="00336447" w:rsidRPr="004B2276" w:rsidRDefault="00336447">
      <w:r w:rsidRPr="004B2276">
        <w:br w:type="page"/>
      </w:r>
    </w:p>
    <w:sdt>
      <w:sdtPr>
        <w:rPr>
          <w:rFonts w:ascii="Tahoma" w:eastAsiaTheme="minorHAnsi" w:hAnsi="Tahoma" w:cstheme="minorBidi"/>
          <w:color w:val="auto"/>
          <w:sz w:val="22"/>
          <w:szCs w:val="22"/>
          <w:lang w:eastAsia="en-US"/>
        </w:rPr>
        <w:id w:val="680479168"/>
        <w:docPartObj>
          <w:docPartGallery w:val="Table of Contents"/>
          <w:docPartUnique/>
        </w:docPartObj>
      </w:sdtPr>
      <w:sdtEndPr>
        <w:rPr>
          <w:b/>
          <w:bCs/>
        </w:rPr>
      </w:sdtEndPr>
      <w:sdtContent>
        <w:p w14:paraId="10E8979D" w14:textId="540CB095" w:rsidR="007E4C3F" w:rsidRPr="007E4C3F" w:rsidRDefault="00EC2CE9" w:rsidP="007E4C3F">
          <w:pPr>
            <w:pStyle w:val="aa"/>
            <w:rPr>
              <w:rFonts w:ascii="Tahoma" w:hAnsi="Tahoma" w:cs="Tahoma"/>
              <w:color w:val="auto"/>
            </w:rPr>
          </w:pPr>
          <w:r w:rsidRPr="00F708B1">
            <w:rPr>
              <w:rFonts w:ascii="Tahoma" w:hAnsi="Tahoma" w:cs="Tahoma"/>
              <w:color w:val="auto"/>
            </w:rPr>
            <w:t>Περιεχόμενα</w:t>
          </w:r>
          <w:r>
            <w:fldChar w:fldCharType="begin"/>
          </w:r>
          <w:r>
            <w:instrText xml:space="preserve"> TOC \o "1-3" \h \z \u </w:instrText>
          </w:r>
          <w:r>
            <w:fldChar w:fldCharType="separate"/>
          </w:r>
        </w:p>
        <w:p w14:paraId="460D1968" w14:textId="40EED39F" w:rsidR="007E4C3F" w:rsidRDefault="007E4C3F">
          <w:pPr>
            <w:pStyle w:val="10"/>
            <w:tabs>
              <w:tab w:val="right" w:leader="dot" w:pos="8296"/>
            </w:tabs>
            <w:rPr>
              <w:rFonts w:asciiTheme="minorHAnsi" w:eastAsiaTheme="minorEastAsia" w:hAnsiTheme="minorHAnsi"/>
              <w:noProof/>
              <w:lang w:eastAsia="el-GR"/>
            </w:rPr>
          </w:pPr>
          <w:hyperlink w:anchor="_Toc51142260" w:history="1">
            <w:r w:rsidRPr="00835708">
              <w:rPr>
                <w:rStyle w:val="-"/>
                <w:rFonts w:cs="Tahoma"/>
                <w:b/>
                <w:bCs/>
                <w:noProof/>
              </w:rPr>
              <w:t>Ακρωνύμια</w:t>
            </w:r>
            <w:r>
              <w:rPr>
                <w:noProof/>
                <w:webHidden/>
              </w:rPr>
              <w:tab/>
            </w:r>
            <w:r>
              <w:rPr>
                <w:noProof/>
                <w:webHidden/>
              </w:rPr>
              <w:fldChar w:fldCharType="begin"/>
            </w:r>
            <w:r>
              <w:rPr>
                <w:noProof/>
                <w:webHidden/>
              </w:rPr>
              <w:instrText xml:space="preserve"> PAGEREF _Toc51142260 \h </w:instrText>
            </w:r>
            <w:r>
              <w:rPr>
                <w:noProof/>
                <w:webHidden/>
              </w:rPr>
            </w:r>
            <w:r>
              <w:rPr>
                <w:noProof/>
                <w:webHidden/>
              </w:rPr>
              <w:fldChar w:fldCharType="separate"/>
            </w:r>
            <w:r>
              <w:rPr>
                <w:noProof/>
                <w:webHidden/>
              </w:rPr>
              <w:t>4</w:t>
            </w:r>
            <w:r>
              <w:rPr>
                <w:noProof/>
                <w:webHidden/>
              </w:rPr>
              <w:fldChar w:fldCharType="end"/>
            </w:r>
          </w:hyperlink>
        </w:p>
        <w:p w14:paraId="7F948D88" w14:textId="3EF9AC6B" w:rsidR="007E4C3F" w:rsidRDefault="007E4C3F">
          <w:pPr>
            <w:pStyle w:val="10"/>
            <w:tabs>
              <w:tab w:val="right" w:leader="dot" w:pos="8296"/>
            </w:tabs>
            <w:rPr>
              <w:rFonts w:asciiTheme="minorHAnsi" w:eastAsiaTheme="minorEastAsia" w:hAnsiTheme="minorHAnsi"/>
              <w:noProof/>
              <w:lang w:eastAsia="el-GR"/>
            </w:rPr>
          </w:pPr>
          <w:hyperlink w:anchor="_Toc51142261" w:history="1">
            <w:r w:rsidRPr="00835708">
              <w:rPr>
                <w:rStyle w:val="-"/>
                <w:noProof/>
              </w:rPr>
              <w:t>Πρόλογος</w:t>
            </w:r>
            <w:r>
              <w:rPr>
                <w:noProof/>
                <w:webHidden/>
              </w:rPr>
              <w:tab/>
            </w:r>
            <w:r>
              <w:rPr>
                <w:noProof/>
                <w:webHidden/>
              </w:rPr>
              <w:fldChar w:fldCharType="begin"/>
            </w:r>
            <w:r>
              <w:rPr>
                <w:noProof/>
                <w:webHidden/>
              </w:rPr>
              <w:instrText xml:space="preserve"> PAGEREF _Toc51142261 \h </w:instrText>
            </w:r>
            <w:r>
              <w:rPr>
                <w:noProof/>
                <w:webHidden/>
              </w:rPr>
            </w:r>
            <w:r>
              <w:rPr>
                <w:noProof/>
                <w:webHidden/>
              </w:rPr>
              <w:fldChar w:fldCharType="separate"/>
            </w:r>
            <w:r>
              <w:rPr>
                <w:noProof/>
                <w:webHidden/>
              </w:rPr>
              <w:t>5</w:t>
            </w:r>
            <w:r>
              <w:rPr>
                <w:noProof/>
                <w:webHidden/>
              </w:rPr>
              <w:fldChar w:fldCharType="end"/>
            </w:r>
          </w:hyperlink>
        </w:p>
        <w:p w14:paraId="0106AA0C" w14:textId="54551B1C" w:rsidR="007E4C3F" w:rsidRDefault="007E4C3F">
          <w:pPr>
            <w:pStyle w:val="20"/>
            <w:tabs>
              <w:tab w:val="right" w:leader="dot" w:pos="8296"/>
            </w:tabs>
            <w:rPr>
              <w:rFonts w:asciiTheme="minorHAnsi" w:eastAsiaTheme="minorEastAsia" w:hAnsiTheme="minorHAnsi"/>
              <w:noProof/>
              <w:lang w:eastAsia="el-GR"/>
            </w:rPr>
          </w:pPr>
          <w:hyperlink w:anchor="_Toc51142262" w:history="1">
            <w:r w:rsidRPr="00835708">
              <w:rPr>
                <w:rStyle w:val="-"/>
                <w:noProof/>
              </w:rPr>
              <w:t>Άρθρο 1</w:t>
            </w:r>
            <w:r>
              <w:rPr>
                <w:noProof/>
                <w:webHidden/>
              </w:rPr>
              <w:tab/>
            </w:r>
            <w:r>
              <w:rPr>
                <w:noProof/>
                <w:webHidden/>
              </w:rPr>
              <w:fldChar w:fldCharType="begin"/>
            </w:r>
            <w:r>
              <w:rPr>
                <w:noProof/>
                <w:webHidden/>
              </w:rPr>
              <w:instrText xml:space="preserve"> PAGEREF _Toc51142262 \h </w:instrText>
            </w:r>
            <w:r>
              <w:rPr>
                <w:noProof/>
                <w:webHidden/>
              </w:rPr>
            </w:r>
            <w:r>
              <w:rPr>
                <w:noProof/>
                <w:webHidden/>
              </w:rPr>
              <w:fldChar w:fldCharType="separate"/>
            </w:r>
            <w:r>
              <w:rPr>
                <w:noProof/>
                <w:webHidden/>
              </w:rPr>
              <w:t>7</w:t>
            </w:r>
            <w:r>
              <w:rPr>
                <w:noProof/>
                <w:webHidden/>
              </w:rPr>
              <w:fldChar w:fldCharType="end"/>
            </w:r>
          </w:hyperlink>
        </w:p>
        <w:p w14:paraId="77B649C6" w14:textId="3BCFD318" w:rsidR="007E4C3F" w:rsidRDefault="007E4C3F">
          <w:pPr>
            <w:pStyle w:val="10"/>
            <w:tabs>
              <w:tab w:val="right" w:leader="dot" w:pos="8296"/>
            </w:tabs>
            <w:rPr>
              <w:rFonts w:asciiTheme="minorHAnsi" w:eastAsiaTheme="minorEastAsia" w:hAnsiTheme="minorHAnsi"/>
              <w:noProof/>
              <w:lang w:eastAsia="el-GR"/>
            </w:rPr>
          </w:pPr>
          <w:hyperlink w:anchor="_Toc51142263" w:history="1">
            <w:r w:rsidRPr="00835708">
              <w:rPr>
                <w:rStyle w:val="-"/>
                <w:noProof/>
              </w:rPr>
              <w:t>Μέρος Α</w:t>
            </w:r>
            <w:r>
              <w:rPr>
                <w:noProof/>
                <w:webHidden/>
              </w:rPr>
              <w:tab/>
            </w:r>
            <w:r>
              <w:rPr>
                <w:noProof/>
                <w:webHidden/>
              </w:rPr>
              <w:fldChar w:fldCharType="begin"/>
            </w:r>
            <w:r>
              <w:rPr>
                <w:noProof/>
                <w:webHidden/>
              </w:rPr>
              <w:instrText xml:space="preserve"> PAGEREF _Toc51142263 \h </w:instrText>
            </w:r>
            <w:r>
              <w:rPr>
                <w:noProof/>
                <w:webHidden/>
              </w:rPr>
            </w:r>
            <w:r>
              <w:rPr>
                <w:noProof/>
                <w:webHidden/>
              </w:rPr>
              <w:fldChar w:fldCharType="separate"/>
            </w:r>
            <w:r>
              <w:rPr>
                <w:noProof/>
                <w:webHidden/>
              </w:rPr>
              <w:t>7</w:t>
            </w:r>
            <w:r>
              <w:rPr>
                <w:noProof/>
                <w:webHidden/>
              </w:rPr>
              <w:fldChar w:fldCharType="end"/>
            </w:r>
          </w:hyperlink>
        </w:p>
        <w:p w14:paraId="273932B5" w14:textId="27AF908F" w:rsidR="007E4C3F" w:rsidRDefault="007E4C3F">
          <w:pPr>
            <w:pStyle w:val="20"/>
            <w:tabs>
              <w:tab w:val="right" w:leader="dot" w:pos="8296"/>
            </w:tabs>
            <w:rPr>
              <w:rFonts w:asciiTheme="minorHAnsi" w:eastAsiaTheme="minorEastAsia" w:hAnsiTheme="minorHAnsi"/>
              <w:noProof/>
              <w:lang w:eastAsia="el-GR"/>
            </w:rPr>
          </w:pPr>
          <w:hyperlink w:anchor="_Toc51142264" w:history="1">
            <w:r w:rsidRPr="00835708">
              <w:rPr>
                <w:rStyle w:val="-"/>
                <w:noProof/>
              </w:rPr>
              <w:t>Άρθρο 2 (6(3)(ε)(</w:t>
            </w:r>
            <w:r w:rsidRPr="00835708">
              <w:rPr>
                <w:rStyle w:val="-"/>
                <w:noProof/>
                <w:lang w:val="en-US"/>
              </w:rPr>
              <w:t>i</w:t>
            </w:r>
            <w:r w:rsidRPr="00835708">
              <w:rPr>
                <w:rStyle w:val="-"/>
                <w:noProof/>
              </w:rPr>
              <w:t>) αναφ. 137 (3),(4))</w:t>
            </w:r>
            <w:r>
              <w:rPr>
                <w:noProof/>
                <w:webHidden/>
              </w:rPr>
              <w:tab/>
            </w:r>
            <w:r>
              <w:rPr>
                <w:noProof/>
                <w:webHidden/>
              </w:rPr>
              <w:fldChar w:fldCharType="begin"/>
            </w:r>
            <w:r>
              <w:rPr>
                <w:noProof/>
                <w:webHidden/>
              </w:rPr>
              <w:instrText xml:space="preserve"> PAGEREF _Toc51142264 \h </w:instrText>
            </w:r>
            <w:r>
              <w:rPr>
                <w:noProof/>
                <w:webHidden/>
              </w:rPr>
            </w:r>
            <w:r>
              <w:rPr>
                <w:noProof/>
                <w:webHidden/>
              </w:rPr>
              <w:fldChar w:fldCharType="separate"/>
            </w:r>
            <w:r>
              <w:rPr>
                <w:noProof/>
                <w:webHidden/>
              </w:rPr>
              <w:t>7</w:t>
            </w:r>
            <w:r>
              <w:rPr>
                <w:noProof/>
                <w:webHidden/>
              </w:rPr>
              <w:fldChar w:fldCharType="end"/>
            </w:r>
          </w:hyperlink>
        </w:p>
        <w:p w14:paraId="585B1FD8" w14:textId="148B04FF" w:rsidR="007E4C3F" w:rsidRDefault="007E4C3F">
          <w:pPr>
            <w:pStyle w:val="20"/>
            <w:tabs>
              <w:tab w:val="right" w:leader="dot" w:pos="8296"/>
            </w:tabs>
            <w:rPr>
              <w:rFonts w:asciiTheme="minorHAnsi" w:eastAsiaTheme="minorEastAsia" w:hAnsiTheme="minorHAnsi"/>
              <w:noProof/>
              <w:lang w:eastAsia="el-GR"/>
            </w:rPr>
          </w:pPr>
          <w:hyperlink w:anchor="_Toc51142265" w:history="1">
            <w:r w:rsidRPr="00835708">
              <w:rPr>
                <w:rStyle w:val="-"/>
                <w:noProof/>
              </w:rPr>
              <w:t>Άρθρο 3 (119 (1) (ιζ))</w:t>
            </w:r>
            <w:r>
              <w:rPr>
                <w:noProof/>
                <w:webHidden/>
              </w:rPr>
              <w:tab/>
            </w:r>
            <w:r>
              <w:rPr>
                <w:noProof/>
                <w:webHidden/>
              </w:rPr>
              <w:fldChar w:fldCharType="begin"/>
            </w:r>
            <w:r>
              <w:rPr>
                <w:noProof/>
                <w:webHidden/>
              </w:rPr>
              <w:instrText xml:space="preserve"> PAGEREF _Toc51142265 \h </w:instrText>
            </w:r>
            <w:r>
              <w:rPr>
                <w:noProof/>
                <w:webHidden/>
              </w:rPr>
            </w:r>
            <w:r>
              <w:rPr>
                <w:noProof/>
                <w:webHidden/>
              </w:rPr>
              <w:fldChar w:fldCharType="separate"/>
            </w:r>
            <w:r>
              <w:rPr>
                <w:noProof/>
                <w:webHidden/>
              </w:rPr>
              <w:t>7</w:t>
            </w:r>
            <w:r>
              <w:rPr>
                <w:noProof/>
                <w:webHidden/>
              </w:rPr>
              <w:fldChar w:fldCharType="end"/>
            </w:r>
          </w:hyperlink>
        </w:p>
        <w:p w14:paraId="3AE1965C" w14:textId="424B8A14" w:rsidR="007E4C3F" w:rsidRDefault="007E4C3F">
          <w:pPr>
            <w:pStyle w:val="20"/>
            <w:tabs>
              <w:tab w:val="right" w:leader="dot" w:pos="8296"/>
            </w:tabs>
            <w:rPr>
              <w:rFonts w:asciiTheme="minorHAnsi" w:eastAsiaTheme="minorEastAsia" w:hAnsiTheme="minorHAnsi"/>
              <w:noProof/>
              <w:lang w:eastAsia="el-GR"/>
            </w:rPr>
          </w:pPr>
          <w:hyperlink w:anchor="_Toc51142266" w:history="1">
            <w:r w:rsidRPr="00835708">
              <w:rPr>
                <w:rStyle w:val="-"/>
                <w:noProof/>
              </w:rPr>
              <w:t>Άρθρο 4 (119 (1) (ιη))</w:t>
            </w:r>
            <w:r>
              <w:rPr>
                <w:noProof/>
                <w:webHidden/>
              </w:rPr>
              <w:tab/>
            </w:r>
            <w:r>
              <w:rPr>
                <w:noProof/>
                <w:webHidden/>
              </w:rPr>
              <w:fldChar w:fldCharType="begin"/>
            </w:r>
            <w:r>
              <w:rPr>
                <w:noProof/>
                <w:webHidden/>
              </w:rPr>
              <w:instrText xml:space="preserve"> PAGEREF _Toc51142266 \h </w:instrText>
            </w:r>
            <w:r>
              <w:rPr>
                <w:noProof/>
                <w:webHidden/>
              </w:rPr>
            </w:r>
            <w:r>
              <w:rPr>
                <w:noProof/>
                <w:webHidden/>
              </w:rPr>
              <w:fldChar w:fldCharType="separate"/>
            </w:r>
            <w:r>
              <w:rPr>
                <w:noProof/>
                <w:webHidden/>
              </w:rPr>
              <w:t>7</w:t>
            </w:r>
            <w:r>
              <w:rPr>
                <w:noProof/>
                <w:webHidden/>
              </w:rPr>
              <w:fldChar w:fldCharType="end"/>
            </w:r>
          </w:hyperlink>
        </w:p>
        <w:p w14:paraId="7B5208AE" w14:textId="589292B0" w:rsidR="007E4C3F" w:rsidRDefault="007E4C3F">
          <w:pPr>
            <w:pStyle w:val="10"/>
            <w:tabs>
              <w:tab w:val="right" w:leader="dot" w:pos="8296"/>
            </w:tabs>
            <w:rPr>
              <w:rFonts w:asciiTheme="minorHAnsi" w:eastAsiaTheme="minorEastAsia" w:hAnsiTheme="minorHAnsi"/>
              <w:noProof/>
              <w:lang w:eastAsia="el-GR"/>
            </w:rPr>
          </w:pPr>
          <w:hyperlink w:anchor="_Toc51142267" w:history="1">
            <w:r w:rsidRPr="00835708">
              <w:rPr>
                <w:rStyle w:val="-"/>
                <w:noProof/>
              </w:rPr>
              <w:t>Μέρος Β</w:t>
            </w:r>
            <w:r>
              <w:rPr>
                <w:noProof/>
                <w:webHidden/>
              </w:rPr>
              <w:tab/>
            </w:r>
            <w:r>
              <w:rPr>
                <w:noProof/>
                <w:webHidden/>
              </w:rPr>
              <w:fldChar w:fldCharType="begin"/>
            </w:r>
            <w:r>
              <w:rPr>
                <w:noProof/>
                <w:webHidden/>
              </w:rPr>
              <w:instrText xml:space="preserve"> PAGEREF _Toc51142267 \h </w:instrText>
            </w:r>
            <w:r>
              <w:rPr>
                <w:noProof/>
                <w:webHidden/>
              </w:rPr>
            </w:r>
            <w:r>
              <w:rPr>
                <w:noProof/>
                <w:webHidden/>
              </w:rPr>
              <w:fldChar w:fldCharType="separate"/>
            </w:r>
            <w:r>
              <w:rPr>
                <w:noProof/>
                <w:webHidden/>
              </w:rPr>
              <w:t>7</w:t>
            </w:r>
            <w:r>
              <w:rPr>
                <w:noProof/>
                <w:webHidden/>
              </w:rPr>
              <w:fldChar w:fldCharType="end"/>
            </w:r>
          </w:hyperlink>
        </w:p>
        <w:p w14:paraId="1524036F" w14:textId="31237499" w:rsidR="007E4C3F" w:rsidRDefault="007E4C3F">
          <w:pPr>
            <w:pStyle w:val="20"/>
            <w:tabs>
              <w:tab w:val="right" w:leader="dot" w:pos="8296"/>
            </w:tabs>
            <w:rPr>
              <w:rFonts w:asciiTheme="minorHAnsi" w:eastAsiaTheme="minorEastAsia" w:hAnsiTheme="minorHAnsi"/>
              <w:noProof/>
              <w:lang w:eastAsia="el-GR"/>
            </w:rPr>
          </w:pPr>
          <w:hyperlink w:anchor="_Toc51142268" w:history="1">
            <w:r w:rsidRPr="00835708">
              <w:rPr>
                <w:rStyle w:val="-"/>
                <w:noProof/>
              </w:rPr>
              <w:t>Άρθρο 5 (αρ. 119 (1) (α))</w:t>
            </w:r>
            <w:r>
              <w:rPr>
                <w:noProof/>
                <w:webHidden/>
              </w:rPr>
              <w:tab/>
            </w:r>
            <w:r>
              <w:rPr>
                <w:noProof/>
                <w:webHidden/>
              </w:rPr>
              <w:fldChar w:fldCharType="begin"/>
            </w:r>
            <w:r>
              <w:rPr>
                <w:noProof/>
                <w:webHidden/>
              </w:rPr>
              <w:instrText xml:space="preserve"> PAGEREF _Toc51142268 \h </w:instrText>
            </w:r>
            <w:r>
              <w:rPr>
                <w:noProof/>
                <w:webHidden/>
              </w:rPr>
            </w:r>
            <w:r>
              <w:rPr>
                <w:noProof/>
                <w:webHidden/>
              </w:rPr>
              <w:fldChar w:fldCharType="separate"/>
            </w:r>
            <w:r>
              <w:rPr>
                <w:noProof/>
                <w:webHidden/>
              </w:rPr>
              <w:t>7</w:t>
            </w:r>
            <w:r>
              <w:rPr>
                <w:noProof/>
                <w:webHidden/>
              </w:rPr>
              <w:fldChar w:fldCharType="end"/>
            </w:r>
          </w:hyperlink>
        </w:p>
        <w:p w14:paraId="21A4757E" w14:textId="28131E41" w:rsidR="007E4C3F" w:rsidRDefault="007E4C3F">
          <w:pPr>
            <w:pStyle w:val="20"/>
            <w:tabs>
              <w:tab w:val="right" w:leader="dot" w:pos="8296"/>
            </w:tabs>
            <w:rPr>
              <w:rFonts w:asciiTheme="minorHAnsi" w:eastAsiaTheme="minorEastAsia" w:hAnsiTheme="minorHAnsi"/>
              <w:noProof/>
              <w:lang w:eastAsia="el-GR"/>
            </w:rPr>
          </w:pPr>
          <w:hyperlink w:anchor="_Toc51142269" w:history="1">
            <w:r w:rsidRPr="00835708">
              <w:rPr>
                <w:rStyle w:val="-"/>
                <w:noProof/>
              </w:rPr>
              <w:t>Άρθρο 6 (119 (1) (β))</w:t>
            </w:r>
            <w:r>
              <w:rPr>
                <w:noProof/>
                <w:webHidden/>
              </w:rPr>
              <w:tab/>
            </w:r>
            <w:r>
              <w:rPr>
                <w:noProof/>
                <w:webHidden/>
              </w:rPr>
              <w:fldChar w:fldCharType="begin"/>
            </w:r>
            <w:r>
              <w:rPr>
                <w:noProof/>
                <w:webHidden/>
              </w:rPr>
              <w:instrText xml:space="preserve"> PAGEREF _Toc51142269 \h </w:instrText>
            </w:r>
            <w:r>
              <w:rPr>
                <w:noProof/>
                <w:webHidden/>
              </w:rPr>
            </w:r>
            <w:r>
              <w:rPr>
                <w:noProof/>
                <w:webHidden/>
              </w:rPr>
              <w:fldChar w:fldCharType="separate"/>
            </w:r>
            <w:r>
              <w:rPr>
                <w:noProof/>
                <w:webHidden/>
              </w:rPr>
              <w:t>8</w:t>
            </w:r>
            <w:r>
              <w:rPr>
                <w:noProof/>
                <w:webHidden/>
              </w:rPr>
              <w:fldChar w:fldCharType="end"/>
            </w:r>
          </w:hyperlink>
        </w:p>
        <w:p w14:paraId="3D3C3725" w14:textId="150E1634" w:rsidR="007E4C3F" w:rsidRDefault="007E4C3F">
          <w:pPr>
            <w:pStyle w:val="20"/>
            <w:tabs>
              <w:tab w:val="right" w:leader="dot" w:pos="8296"/>
            </w:tabs>
            <w:rPr>
              <w:rFonts w:asciiTheme="minorHAnsi" w:eastAsiaTheme="minorEastAsia" w:hAnsiTheme="minorHAnsi"/>
              <w:noProof/>
              <w:lang w:eastAsia="el-GR"/>
            </w:rPr>
          </w:pPr>
          <w:hyperlink w:anchor="_Toc51142270" w:history="1">
            <w:r w:rsidRPr="00835708">
              <w:rPr>
                <w:rStyle w:val="-"/>
                <w:noProof/>
              </w:rPr>
              <w:t>Άρθρο 7 (αρ.119 (1) (δ))</w:t>
            </w:r>
            <w:r>
              <w:rPr>
                <w:noProof/>
                <w:webHidden/>
              </w:rPr>
              <w:tab/>
            </w:r>
            <w:r>
              <w:rPr>
                <w:noProof/>
                <w:webHidden/>
              </w:rPr>
              <w:fldChar w:fldCharType="begin"/>
            </w:r>
            <w:r>
              <w:rPr>
                <w:noProof/>
                <w:webHidden/>
              </w:rPr>
              <w:instrText xml:space="preserve"> PAGEREF _Toc51142270 \h </w:instrText>
            </w:r>
            <w:r>
              <w:rPr>
                <w:noProof/>
                <w:webHidden/>
              </w:rPr>
            </w:r>
            <w:r>
              <w:rPr>
                <w:noProof/>
                <w:webHidden/>
              </w:rPr>
              <w:fldChar w:fldCharType="separate"/>
            </w:r>
            <w:r>
              <w:rPr>
                <w:noProof/>
                <w:webHidden/>
              </w:rPr>
              <w:t>8</w:t>
            </w:r>
            <w:r>
              <w:rPr>
                <w:noProof/>
                <w:webHidden/>
              </w:rPr>
              <w:fldChar w:fldCharType="end"/>
            </w:r>
          </w:hyperlink>
        </w:p>
        <w:p w14:paraId="4A1C4E26" w14:textId="4864CF9B" w:rsidR="007E4C3F" w:rsidRDefault="007E4C3F">
          <w:pPr>
            <w:pStyle w:val="20"/>
            <w:tabs>
              <w:tab w:val="right" w:leader="dot" w:pos="8296"/>
            </w:tabs>
            <w:rPr>
              <w:rFonts w:asciiTheme="minorHAnsi" w:eastAsiaTheme="minorEastAsia" w:hAnsiTheme="minorHAnsi"/>
              <w:noProof/>
              <w:lang w:eastAsia="el-GR"/>
            </w:rPr>
          </w:pPr>
          <w:hyperlink w:anchor="_Toc51142271" w:history="1">
            <w:r w:rsidRPr="00835708">
              <w:rPr>
                <w:rStyle w:val="-"/>
                <w:noProof/>
              </w:rPr>
              <w:t>Άρθρο 8 (αρ.119 (1) (ε))</w:t>
            </w:r>
            <w:r>
              <w:rPr>
                <w:noProof/>
                <w:webHidden/>
              </w:rPr>
              <w:tab/>
            </w:r>
            <w:r>
              <w:rPr>
                <w:noProof/>
                <w:webHidden/>
              </w:rPr>
              <w:fldChar w:fldCharType="begin"/>
            </w:r>
            <w:r>
              <w:rPr>
                <w:noProof/>
                <w:webHidden/>
              </w:rPr>
              <w:instrText xml:space="preserve"> PAGEREF _Toc51142271 \h </w:instrText>
            </w:r>
            <w:r>
              <w:rPr>
                <w:noProof/>
                <w:webHidden/>
              </w:rPr>
            </w:r>
            <w:r>
              <w:rPr>
                <w:noProof/>
                <w:webHidden/>
              </w:rPr>
              <w:fldChar w:fldCharType="separate"/>
            </w:r>
            <w:r>
              <w:rPr>
                <w:noProof/>
                <w:webHidden/>
              </w:rPr>
              <w:t>8</w:t>
            </w:r>
            <w:r>
              <w:rPr>
                <w:noProof/>
                <w:webHidden/>
              </w:rPr>
              <w:fldChar w:fldCharType="end"/>
            </w:r>
          </w:hyperlink>
        </w:p>
        <w:p w14:paraId="3AEEDB20" w14:textId="6F566AA8" w:rsidR="007E4C3F" w:rsidRDefault="007E4C3F">
          <w:pPr>
            <w:pStyle w:val="20"/>
            <w:tabs>
              <w:tab w:val="right" w:leader="dot" w:pos="8296"/>
            </w:tabs>
            <w:rPr>
              <w:rFonts w:asciiTheme="minorHAnsi" w:eastAsiaTheme="minorEastAsia" w:hAnsiTheme="minorHAnsi"/>
              <w:noProof/>
              <w:lang w:eastAsia="el-GR"/>
            </w:rPr>
          </w:pPr>
          <w:hyperlink w:anchor="_Toc51142272" w:history="1">
            <w:r w:rsidRPr="00835708">
              <w:rPr>
                <w:rStyle w:val="-"/>
                <w:noProof/>
              </w:rPr>
              <w:t>Άρθρο 9 (αρ.119 (1) (στ))</w:t>
            </w:r>
            <w:r>
              <w:rPr>
                <w:noProof/>
                <w:webHidden/>
              </w:rPr>
              <w:tab/>
            </w:r>
            <w:r>
              <w:rPr>
                <w:noProof/>
                <w:webHidden/>
              </w:rPr>
              <w:fldChar w:fldCharType="begin"/>
            </w:r>
            <w:r>
              <w:rPr>
                <w:noProof/>
                <w:webHidden/>
              </w:rPr>
              <w:instrText xml:space="preserve"> PAGEREF _Toc51142272 \h </w:instrText>
            </w:r>
            <w:r>
              <w:rPr>
                <w:noProof/>
                <w:webHidden/>
              </w:rPr>
            </w:r>
            <w:r>
              <w:rPr>
                <w:noProof/>
                <w:webHidden/>
              </w:rPr>
              <w:fldChar w:fldCharType="separate"/>
            </w:r>
            <w:r>
              <w:rPr>
                <w:noProof/>
                <w:webHidden/>
              </w:rPr>
              <w:t>8</w:t>
            </w:r>
            <w:r>
              <w:rPr>
                <w:noProof/>
                <w:webHidden/>
              </w:rPr>
              <w:fldChar w:fldCharType="end"/>
            </w:r>
          </w:hyperlink>
        </w:p>
        <w:p w14:paraId="785933DD" w14:textId="0684ADFD" w:rsidR="007E4C3F" w:rsidRDefault="007E4C3F">
          <w:pPr>
            <w:pStyle w:val="20"/>
            <w:tabs>
              <w:tab w:val="right" w:leader="dot" w:pos="8296"/>
            </w:tabs>
            <w:rPr>
              <w:rFonts w:asciiTheme="minorHAnsi" w:eastAsiaTheme="minorEastAsia" w:hAnsiTheme="minorHAnsi"/>
              <w:noProof/>
              <w:lang w:eastAsia="el-GR"/>
            </w:rPr>
          </w:pPr>
          <w:hyperlink w:anchor="_Toc51142273" w:history="1">
            <w:r w:rsidRPr="00835708">
              <w:rPr>
                <w:rStyle w:val="-"/>
                <w:noProof/>
              </w:rPr>
              <w:t>Άρθρο 10 (αρ.119 (1) (ζ))</w:t>
            </w:r>
            <w:r>
              <w:rPr>
                <w:noProof/>
                <w:webHidden/>
              </w:rPr>
              <w:tab/>
            </w:r>
            <w:r>
              <w:rPr>
                <w:noProof/>
                <w:webHidden/>
              </w:rPr>
              <w:fldChar w:fldCharType="begin"/>
            </w:r>
            <w:r>
              <w:rPr>
                <w:noProof/>
                <w:webHidden/>
              </w:rPr>
              <w:instrText xml:space="preserve"> PAGEREF _Toc51142273 \h </w:instrText>
            </w:r>
            <w:r>
              <w:rPr>
                <w:noProof/>
                <w:webHidden/>
              </w:rPr>
            </w:r>
            <w:r>
              <w:rPr>
                <w:noProof/>
                <w:webHidden/>
              </w:rPr>
              <w:fldChar w:fldCharType="separate"/>
            </w:r>
            <w:r>
              <w:rPr>
                <w:noProof/>
                <w:webHidden/>
              </w:rPr>
              <w:t>8</w:t>
            </w:r>
            <w:r>
              <w:rPr>
                <w:noProof/>
                <w:webHidden/>
              </w:rPr>
              <w:fldChar w:fldCharType="end"/>
            </w:r>
          </w:hyperlink>
        </w:p>
        <w:p w14:paraId="11278BF1" w14:textId="771B813C" w:rsidR="007E4C3F" w:rsidRDefault="007E4C3F">
          <w:pPr>
            <w:pStyle w:val="20"/>
            <w:tabs>
              <w:tab w:val="right" w:leader="dot" w:pos="8296"/>
            </w:tabs>
            <w:rPr>
              <w:rFonts w:asciiTheme="minorHAnsi" w:eastAsiaTheme="minorEastAsia" w:hAnsiTheme="minorHAnsi"/>
              <w:noProof/>
              <w:lang w:eastAsia="el-GR"/>
            </w:rPr>
          </w:pPr>
          <w:hyperlink w:anchor="_Toc51142274" w:history="1">
            <w:r w:rsidRPr="00835708">
              <w:rPr>
                <w:rStyle w:val="-"/>
                <w:noProof/>
              </w:rPr>
              <w:t>Άρθρο 11 (αρ.119 (1) (θ))</w:t>
            </w:r>
            <w:r>
              <w:rPr>
                <w:noProof/>
                <w:webHidden/>
              </w:rPr>
              <w:tab/>
            </w:r>
            <w:r>
              <w:rPr>
                <w:noProof/>
                <w:webHidden/>
              </w:rPr>
              <w:fldChar w:fldCharType="begin"/>
            </w:r>
            <w:r>
              <w:rPr>
                <w:noProof/>
                <w:webHidden/>
              </w:rPr>
              <w:instrText xml:space="preserve"> PAGEREF _Toc51142274 \h </w:instrText>
            </w:r>
            <w:r>
              <w:rPr>
                <w:noProof/>
                <w:webHidden/>
              </w:rPr>
            </w:r>
            <w:r>
              <w:rPr>
                <w:noProof/>
                <w:webHidden/>
              </w:rPr>
              <w:fldChar w:fldCharType="separate"/>
            </w:r>
            <w:r>
              <w:rPr>
                <w:noProof/>
                <w:webHidden/>
              </w:rPr>
              <w:t>9</w:t>
            </w:r>
            <w:r>
              <w:rPr>
                <w:noProof/>
                <w:webHidden/>
              </w:rPr>
              <w:fldChar w:fldCharType="end"/>
            </w:r>
          </w:hyperlink>
        </w:p>
        <w:p w14:paraId="35304A55" w14:textId="1A613433" w:rsidR="007E4C3F" w:rsidRDefault="007E4C3F">
          <w:pPr>
            <w:pStyle w:val="20"/>
            <w:tabs>
              <w:tab w:val="right" w:leader="dot" w:pos="8296"/>
            </w:tabs>
            <w:rPr>
              <w:rFonts w:asciiTheme="minorHAnsi" w:eastAsiaTheme="minorEastAsia" w:hAnsiTheme="minorHAnsi"/>
              <w:noProof/>
              <w:lang w:eastAsia="el-GR"/>
            </w:rPr>
          </w:pPr>
          <w:hyperlink w:anchor="_Toc51142275" w:history="1">
            <w:r w:rsidRPr="00835708">
              <w:rPr>
                <w:rStyle w:val="-"/>
                <w:noProof/>
              </w:rPr>
              <w:t>Άρθρο 12 (αρ.119 (1) (ι))</w:t>
            </w:r>
            <w:r>
              <w:rPr>
                <w:noProof/>
                <w:webHidden/>
              </w:rPr>
              <w:tab/>
            </w:r>
            <w:r>
              <w:rPr>
                <w:noProof/>
                <w:webHidden/>
              </w:rPr>
              <w:fldChar w:fldCharType="begin"/>
            </w:r>
            <w:r>
              <w:rPr>
                <w:noProof/>
                <w:webHidden/>
              </w:rPr>
              <w:instrText xml:space="preserve"> PAGEREF _Toc51142275 \h </w:instrText>
            </w:r>
            <w:r>
              <w:rPr>
                <w:noProof/>
                <w:webHidden/>
              </w:rPr>
            </w:r>
            <w:r>
              <w:rPr>
                <w:noProof/>
                <w:webHidden/>
              </w:rPr>
              <w:fldChar w:fldCharType="separate"/>
            </w:r>
            <w:r>
              <w:rPr>
                <w:noProof/>
                <w:webHidden/>
              </w:rPr>
              <w:t>9</w:t>
            </w:r>
            <w:r>
              <w:rPr>
                <w:noProof/>
                <w:webHidden/>
              </w:rPr>
              <w:fldChar w:fldCharType="end"/>
            </w:r>
          </w:hyperlink>
        </w:p>
        <w:p w14:paraId="18A0780C" w14:textId="18065A04" w:rsidR="007E4C3F" w:rsidRDefault="007E4C3F">
          <w:pPr>
            <w:pStyle w:val="20"/>
            <w:tabs>
              <w:tab w:val="right" w:leader="dot" w:pos="8296"/>
            </w:tabs>
            <w:rPr>
              <w:rFonts w:asciiTheme="minorHAnsi" w:eastAsiaTheme="minorEastAsia" w:hAnsiTheme="minorHAnsi"/>
              <w:noProof/>
              <w:lang w:eastAsia="el-GR"/>
            </w:rPr>
          </w:pPr>
          <w:hyperlink w:anchor="_Toc51142276" w:history="1">
            <w:r w:rsidRPr="00835708">
              <w:rPr>
                <w:rStyle w:val="-"/>
                <w:noProof/>
              </w:rPr>
              <w:t>Άρθρο 13 (αρ.119 (1</w:t>
            </w:r>
            <w:r w:rsidRPr="00835708">
              <w:rPr>
                <w:rStyle w:val="-"/>
                <w:noProof/>
              </w:rPr>
              <w:t>)</w:t>
            </w:r>
            <w:r w:rsidRPr="00835708">
              <w:rPr>
                <w:rStyle w:val="-"/>
                <w:noProof/>
              </w:rPr>
              <w:t xml:space="preserve"> (ια))</w:t>
            </w:r>
            <w:r>
              <w:rPr>
                <w:noProof/>
                <w:webHidden/>
              </w:rPr>
              <w:tab/>
            </w:r>
            <w:r>
              <w:rPr>
                <w:noProof/>
                <w:webHidden/>
              </w:rPr>
              <w:fldChar w:fldCharType="begin"/>
            </w:r>
            <w:r>
              <w:rPr>
                <w:noProof/>
                <w:webHidden/>
              </w:rPr>
              <w:instrText xml:space="preserve"> PAGEREF _Toc51142276 \h </w:instrText>
            </w:r>
            <w:r>
              <w:rPr>
                <w:noProof/>
                <w:webHidden/>
              </w:rPr>
            </w:r>
            <w:r>
              <w:rPr>
                <w:noProof/>
                <w:webHidden/>
              </w:rPr>
              <w:fldChar w:fldCharType="separate"/>
            </w:r>
            <w:r>
              <w:rPr>
                <w:noProof/>
                <w:webHidden/>
              </w:rPr>
              <w:t>9</w:t>
            </w:r>
            <w:r>
              <w:rPr>
                <w:noProof/>
                <w:webHidden/>
              </w:rPr>
              <w:fldChar w:fldCharType="end"/>
            </w:r>
          </w:hyperlink>
        </w:p>
        <w:p w14:paraId="5F2A1DAE" w14:textId="06F12209" w:rsidR="007E4C3F" w:rsidRDefault="007E4C3F">
          <w:pPr>
            <w:pStyle w:val="20"/>
            <w:tabs>
              <w:tab w:val="right" w:leader="dot" w:pos="8296"/>
            </w:tabs>
            <w:rPr>
              <w:rFonts w:asciiTheme="minorHAnsi" w:eastAsiaTheme="minorEastAsia" w:hAnsiTheme="minorHAnsi"/>
              <w:noProof/>
              <w:lang w:eastAsia="el-GR"/>
            </w:rPr>
          </w:pPr>
          <w:hyperlink w:anchor="_Toc51142277" w:history="1">
            <w:r w:rsidRPr="00835708">
              <w:rPr>
                <w:rStyle w:val="-"/>
                <w:noProof/>
              </w:rPr>
              <w:t>Άρθρο 14 (αρ.119 (1) (ιβ))</w:t>
            </w:r>
            <w:r>
              <w:rPr>
                <w:noProof/>
                <w:webHidden/>
              </w:rPr>
              <w:tab/>
            </w:r>
            <w:r>
              <w:rPr>
                <w:noProof/>
                <w:webHidden/>
              </w:rPr>
              <w:fldChar w:fldCharType="begin"/>
            </w:r>
            <w:r>
              <w:rPr>
                <w:noProof/>
                <w:webHidden/>
              </w:rPr>
              <w:instrText xml:space="preserve"> PAGEREF _Toc51142277 \h </w:instrText>
            </w:r>
            <w:r>
              <w:rPr>
                <w:noProof/>
                <w:webHidden/>
              </w:rPr>
            </w:r>
            <w:r>
              <w:rPr>
                <w:noProof/>
                <w:webHidden/>
              </w:rPr>
              <w:fldChar w:fldCharType="separate"/>
            </w:r>
            <w:r>
              <w:rPr>
                <w:noProof/>
                <w:webHidden/>
              </w:rPr>
              <w:t>9</w:t>
            </w:r>
            <w:r>
              <w:rPr>
                <w:noProof/>
                <w:webHidden/>
              </w:rPr>
              <w:fldChar w:fldCharType="end"/>
            </w:r>
          </w:hyperlink>
        </w:p>
        <w:p w14:paraId="6DC17453" w14:textId="6ED8C5F8" w:rsidR="007E4C3F" w:rsidRDefault="007E4C3F">
          <w:pPr>
            <w:pStyle w:val="20"/>
            <w:tabs>
              <w:tab w:val="right" w:leader="dot" w:pos="8296"/>
            </w:tabs>
            <w:rPr>
              <w:rFonts w:asciiTheme="minorHAnsi" w:eastAsiaTheme="minorEastAsia" w:hAnsiTheme="minorHAnsi"/>
              <w:noProof/>
              <w:lang w:eastAsia="el-GR"/>
            </w:rPr>
          </w:pPr>
          <w:hyperlink w:anchor="_Toc51142278" w:history="1">
            <w:r w:rsidRPr="00835708">
              <w:rPr>
                <w:rStyle w:val="-"/>
                <w:noProof/>
              </w:rPr>
              <w:t>Άρθρο 15 (αρ.119 (1) (ιγ))</w:t>
            </w:r>
            <w:r>
              <w:rPr>
                <w:noProof/>
                <w:webHidden/>
              </w:rPr>
              <w:tab/>
            </w:r>
            <w:r>
              <w:rPr>
                <w:noProof/>
                <w:webHidden/>
              </w:rPr>
              <w:fldChar w:fldCharType="begin"/>
            </w:r>
            <w:r>
              <w:rPr>
                <w:noProof/>
                <w:webHidden/>
              </w:rPr>
              <w:instrText xml:space="preserve"> PAGEREF _Toc51142278 \h </w:instrText>
            </w:r>
            <w:r>
              <w:rPr>
                <w:noProof/>
                <w:webHidden/>
              </w:rPr>
            </w:r>
            <w:r>
              <w:rPr>
                <w:noProof/>
                <w:webHidden/>
              </w:rPr>
              <w:fldChar w:fldCharType="separate"/>
            </w:r>
            <w:r>
              <w:rPr>
                <w:noProof/>
                <w:webHidden/>
              </w:rPr>
              <w:t>9</w:t>
            </w:r>
            <w:r>
              <w:rPr>
                <w:noProof/>
                <w:webHidden/>
              </w:rPr>
              <w:fldChar w:fldCharType="end"/>
            </w:r>
          </w:hyperlink>
        </w:p>
        <w:p w14:paraId="3198855F" w14:textId="7E62B3B2" w:rsidR="007E4C3F" w:rsidRDefault="007E4C3F">
          <w:pPr>
            <w:pStyle w:val="20"/>
            <w:tabs>
              <w:tab w:val="right" w:leader="dot" w:pos="8296"/>
            </w:tabs>
            <w:rPr>
              <w:rFonts w:asciiTheme="minorHAnsi" w:eastAsiaTheme="minorEastAsia" w:hAnsiTheme="minorHAnsi"/>
              <w:noProof/>
              <w:lang w:eastAsia="el-GR"/>
            </w:rPr>
          </w:pPr>
          <w:hyperlink w:anchor="_Toc51142279" w:history="1">
            <w:r w:rsidRPr="00835708">
              <w:rPr>
                <w:rStyle w:val="-"/>
                <w:noProof/>
              </w:rPr>
              <w:t>Άρθρο 16 (αρ.119 (1) (ιδ))</w:t>
            </w:r>
            <w:r>
              <w:rPr>
                <w:noProof/>
                <w:webHidden/>
              </w:rPr>
              <w:tab/>
            </w:r>
            <w:r>
              <w:rPr>
                <w:noProof/>
                <w:webHidden/>
              </w:rPr>
              <w:fldChar w:fldCharType="begin"/>
            </w:r>
            <w:r>
              <w:rPr>
                <w:noProof/>
                <w:webHidden/>
              </w:rPr>
              <w:instrText xml:space="preserve"> PAGEREF _Toc51142279 \h </w:instrText>
            </w:r>
            <w:r>
              <w:rPr>
                <w:noProof/>
                <w:webHidden/>
              </w:rPr>
            </w:r>
            <w:r>
              <w:rPr>
                <w:noProof/>
                <w:webHidden/>
              </w:rPr>
              <w:fldChar w:fldCharType="separate"/>
            </w:r>
            <w:r>
              <w:rPr>
                <w:noProof/>
                <w:webHidden/>
              </w:rPr>
              <w:t>10</w:t>
            </w:r>
            <w:r>
              <w:rPr>
                <w:noProof/>
                <w:webHidden/>
              </w:rPr>
              <w:fldChar w:fldCharType="end"/>
            </w:r>
          </w:hyperlink>
        </w:p>
        <w:p w14:paraId="434152AC" w14:textId="6203F308" w:rsidR="007E4C3F" w:rsidRDefault="007E4C3F">
          <w:pPr>
            <w:pStyle w:val="20"/>
            <w:tabs>
              <w:tab w:val="right" w:leader="dot" w:pos="8296"/>
            </w:tabs>
            <w:rPr>
              <w:rFonts w:asciiTheme="minorHAnsi" w:eastAsiaTheme="minorEastAsia" w:hAnsiTheme="minorHAnsi"/>
              <w:noProof/>
              <w:lang w:eastAsia="el-GR"/>
            </w:rPr>
          </w:pPr>
          <w:hyperlink w:anchor="_Toc51142280" w:history="1">
            <w:r w:rsidRPr="00835708">
              <w:rPr>
                <w:rStyle w:val="-"/>
                <w:noProof/>
              </w:rPr>
              <w:t>Άρθρο 17 (αρ.119 (1) (ιε))</w:t>
            </w:r>
            <w:r>
              <w:rPr>
                <w:noProof/>
                <w:webHidden/>
              </w:rPr>
              <w:tab/>
            </w:r>
            <w:r>
              <w:rPr>
                <w:noProof/>
                <w:webHidden/>
              </w:rPr>
              <w:fldChar w:fldCharType="begin"/>
            </w:r>
            <w:r>
              <w:rPr>
                <w:noProof/>
                <w:webHidden/>
              </w:rPr>
              <w:instrText xml:space="preserve"> PAGEREF _Toc51142280 \h </w:instrText>
            </w:r>
            <w:r>
              <w:rPr>
                <w:noProof/>
                <w:webHidden/>
              </w:rPr>
            </w:r>
            <w:r>
              <w:rPr>
                <w:noProof/>
                <w:webHidden/>
              </w:rPr>
              <w:fldChar w:fldCharType="separate"/>
            </w:r>
            <w:r>
              <w:rPr>
                <w:noProof/>
                <w:webHidden/>
              </w:rPr>
              <w:t>10</w:t>
            </w:r>
            <w:r>
              <w:rPr>
                <w:noProof/>
                <w:webHidden/>
              </w:rPr>
              <w:fldChar w:fldCharType="end"/>
            </w:r>
          </w:hyperlink>
        </w:p>
        <w:p w14:paraId="3C0D5D10" w14:textId="4C12B7CF" w:rsidR="007E4C3F" w:rsidRDefault="007E4C3F">
          <w:pPr>
            <w:pStyle w:val="20"/>
            <w:tabs>
              <w:tab w:val="right" w:leader="dot" w:pos="8296"/>
            </w:tabs>
            <w:rPr>
              <w:rFonts w:asciiTheme="minorHAnsi" w:eastAsiaTheme="minorEastAsia" w:hAnsiTheme="minorHAnsi"/>
              <w:noProof/>
              <w:lang w:eastAsia="el-GR"/>
            </w:rPr>
          </w:pPr>
          <w:hyperlink w:anchor="_Toc51142281" w:history="1">
            <w:r w:rsidRPr="00835708">
              <w:rPr>
                <w:rStyle w:val="-"/>
                <w:noProof/>
              </w:rPr>
              <w:t>Άρθρο 18 (αρ.119 (1) (ιστ))</w:t>
            </w:r>
            <w:r>
              <w:rPr>
                <w:noProof/>
                <w:webHidden/>
              </w:rPr>
              <w:tab/>
            </w:r>
            <w:r>
              <w:rPr>
                <w:noProof/>
                <w:webHidden/>
              </w:rPr>
              <w:fldChar w:fldCharType="begin"/>
            </w:r>
            <w:r>
              <w:rPr>
                <w:noProof/>
                <w:webHidden/>
              </w:rPr>
              <w:instrText xml:space="preserve"> PAGEREF _Toc51142281 \h </w:instrText>
            </w:r>
            <w:r>
              <w:rPr>
                <w:noProof/>
                <w:webHidden/>
              </w:rPr>
            </w:r>
            <w:r>
              <w:rPr>
                <w:noProof/>
                <w:webHidden/>
              </w:rPr>
              <w:fldChar w:fldCharType="separate"/>
            </w:r>
            <w:r>
              <w:rPr>
                <w:noProof/>
                <w:webHidden/>
              </w:rPr>
              <w:t>10</w:t>
            </w:r>
            <w:r>
              <w:rPr>
                <w:noProof/>
                <w:webHidden/>
              </w:rPr>
              <w:fldChar w:fldCharType="end"/>
            </w:r>
          </w:hyperlink>
        </w:p>
        <w:p w14:paraId="67B7FAB6" w14:textId="11616135" w:rsidR="007E4C3F" w:rsidRDefault="007E4C3F">
          <w:pPr>
            <w:pStyle w:val="20"/>
            <w:tabs>
              <w:tab w:val="right" w:leader="dot" w:pos="8296"/>
            </w:tabs>
            <w:rPr>
              <w:rFonts w:asciiTheme="minorHAnsi" w:eastAsiaTheme="minorEastAsia" w:hAnsiTheme="minorHAnsi"/>
              <w:noProof/>
              <w:lang w:eastAsia="el-GR"/>
            </w:rPr>
          </w:pPr>
          <w:hyperlink w:anchor="_Toc51142282" w:history="1">
            <w:r w:rsidRPr="00835708">
              <w:rPr>
                <w:rStyle w:val="-"/>
                <w:noProof/>
              </w:rPr>
              <w:t>Όροι και προϋποθέσεις για το μέρος Α και το μέρος Β</w:t>
            </w:r>
            <w:r>
              <w:rPr>
                <w:noProof/>
                <w:webHidden/>
              </w:rPr>
              <w:tab/>
            </w:r>
            <w:r>
              <w:rPr>
                <w:noProof/>
                <w:webHidden/>
              </w:rPr>
              <w:fldChar w:fldCharType="begin"/>
            </w:r>
            <w:r>
              <w:rPr>
                <w:noProof/>
                <w:webHidden/>
              </w:rPr>
              <w:instrText xml:space="preserve"> PAGEREF _Toc51142282 \h </w:instrText>
            </w:r>
            <w:r>
              <w:rPr>
                <w:noProof/>
                <w:webHidden/>
              </w:rPr>
            </w:r>
            <w:r>
              <w:rPr>
                <w:noProof/>
                <w:webHidden/>
              </w:rPr>
              <w:fldChar w:fldCharType="separate"/>
            </w:r>
            <w:r>
              <w:rPr>
                <w:noProof/>
                <w:webHidden/>
              </w:rPr>
              <w:t>11</w:t>
            </w:r>
            <w:r>
              <w:rPr>
                <w:noProof/>
                <w:webHidden/>
              </w:rPr>
              <w:fldChar w:fldCharType="end"/>
            </w:r>
          </w:hyperlink>
        </w:p>
        <w:p w14:paraId="181A1866" w14:textId="4AA5A5C6" w:rsidR="007E4C3F" w:rsidRDefault="007E4C3F">
          <w:pPr>
            <w:pStyle w:val="20"/>
            <w:tabs>
              <w:tab w:val="right" w:leader="dot" w:pos="8296"/>
            </w:tabs>
            <w:rPr>
              <w:rFonts w:asciiTheme="minorHAnsi" w:eastAsiaTheme="minorEastAsia" w:hAnsiTheme="minorHAnsi"/>
              <w:noProof/>
              <w:lang w:eastAsia="el-GR"/>
            </w:rPr>
          </w:pPr>
          <w:hyperlink w:anchor="_Toc51142283" w:history="1">
            <w:r w:rsidRPr="00835708">
              <w:rPr>
                <w:rStyle w:val="-"/>
                <w:noProof/>
              </w:rPr>
              <w:t>Χρονικό πλαίσιο εφαρμογής</w:t>
            </w:r>
            <w:r>
              <w:rPr>
                <w:noProof/>
                <w:webHidden/>
              </w:rPr>
              <w:tab/>
            </w:r>
            <w:r>
              <w:rPr>
                <w:noProof/>
                <w:webHidden/>
              </w:rPr>
              <w:fldChar w:fldCharType="begin"/>
            </w:r>
            <w:r>
              <w:rPr>
                <w:noProof/>
                <w:webHidden/>
              </w:rPr>
              <w:instrText xml:space="preserve"> PAGEREF _Toc51142283 \h </w:instrText>
            </w:r>
            <w:r>
              <w:rPr>
                <w:noProof/>
                <w:webHidden/>
              </w:rPr>
            </w:r>
            <w:r>
              <w:rPr>
                <w:noProof/>
                <w:webHidden/>
              </w:rPr>
              <w:fldChar w:fldCharType="separate"/>
            </w:r>
            <w:r>
              <w:rPr>
                <w:noProof/>
                <w:webHidden/>
              </w:rPr>
              <w:t>11</w:t>
            </w:r>
            <w:r>
              <w:rPr>
                <w:noProof/>
                <w:webHidden/>
              </w:rPr>
              <w:fldChar w:fldCharType="end"/>
            </w:r>
          </w:hyperlink>
        </w:p>
        <w:p w14:paraId="04D76BCA" w14:textId="762F554E" w:rsidR="00EC2CE9" w:rsidRDefault="00EC2CE9">
          <w:r>
            <w:rPr>
              <w:b/>
              <w:bCs/>
            </w:rPr>
            <w:fldChar w:fldCharType="end"/>
          </w:r>
        </w:p>
      </w:sdtContent>
    </w:sdt>
    <w:p w14:paraId="17F12BCA" w14:textId="77777777" w:rsidR="00EC2CE9" w:rsidRDefault="00EC2CE9" w:rsidP="004B2276">
      <w:pPr>
        <w:pStyle w:val="1"/>
      </w:pPr>
    </w:p>
    <w:p w14:paraId="488B6667" w14:textId="77777777" w:rsidR="00EC2CE9" w:rsidRDefault="00EC2CE9" w:rsidP="004B2276">
      <w:pPr>
        <w:pStyle w:val="1"/>
      </w:pPr>
    </w:p>
    <w:p w14:paraId="23C8B00F" w14:textId="77777777" w:rsidR="00EC2CE9" w:rsidRDefault="00EC2CE9" w:rsidP="004B2276">
      <w:pPr>
        <w:pStyle w:val="1"/>
      </w:pPr>
    </w:p>
    <w:p w14:paraId="3F5372FD" w14:textId="77777777" w:rsidR="00EC2CE9" w:rsidRDefault="00EC2CE9" w:rsidP="004B2276">
      <w:pPr>
        <w:pStyle w:val="1"/>
      </w:pPr>
    </w:p>
    <w:p w14:paraId="645B1187" w14:textId="77777777" w:rsidR="00EC2CE9" w:rsidRDefault="00EC2CE9" w:rsidP="004B2276">
      <w:pPr>
        <w:pStyle w:val="1"/>
      </w:pPr>
    </w:p>
    <w:p w14:paraId="180CAC30" w14:textId="77777777" w:rsidR="00EC2CE9" w:rsidRDefault="00EC2CE9" w:rsidP="004B2276">
      <w:pPr>
        <w:pStyle w:val="1"/>
      </w:pPr>
    </w:p>
    <w:p w14:paraId="75B8081C" w14:textId="77777777" w:rsidR="00EC2CE9" w:rsidRDefault="00EC2CE9" w:rsidP="004B2276">
      <w:pPr>
        <w:pStyle w:val="1"/>
      </w:pPr>
    </w:p>
    <w:p w14:paraId="3E4CC7BB" w14:textId="77777777" w:rsidR="00EC2CE9" w:rsidRDefault="00EC2CE9" w:rsidP="004B2276">
      <w:pPr>
        <w:pStyle w:val="1"/>
      </w:pPr>
    </w:p>
    <w:p w14:paraId="1A6AF576" w14:textId="77777777" w:rsidR="00EC2CE9" w:rsidRDefault="00EC2CE9" w:rsidP="004B2276">
      <w:pPr>
        <w:pStyle w:val="1"/>
      </w:pPr>
    </w:p>
    <w:p w14:paraId="785CCF32" w14:textId="52B6A52F" w:rsidR="00EC2CE9" w:rsidRDefault="00EC2CE9" w:rsidP="004B2276">
      <w:pPr>
        <w:pStyle w:val="1"/>
      </w:pPr>
    </w:p>
    <w:p w14:paraId="43EBE054" w14:textId="77777777" w:rsidR="00EC2CE9" w:rsidRPr="00EC2CE9" w:rsidRDefault="00EC2CE9" w:rsidP="00EC2CE9"/>
    <w:p w14:paraId="7F41BBE6" w14:textId="5C10AC75" w:rsidR="00F708B1" w:rsidRDefault="00F708B1">
      <w:pPr>
        <w:rPr>
          <w:rFonts w:eastAsiaTheme="majorEastAsia" w:cstheme="majorBidi"/>
          <w:sz w:val="32"/>
          <w:szCs w:val="32"/>
        </w:rPr>
      </w:pPr>
      <w:r>
        <w:br w:type="page"/>
      </w:r>
    </w:p>
    <w:p w14:paraId="0672885C" w14:textId="77777777" w:rsidR="00EC2CE9" w:rsidRPr="00AD5B3A" w:rsidRDefault="00EC2CE9" w:rsidP="00EC2CE9">
      <w:pPr>
        <w:pStyle w:val="1"/>
        <w:rPr>
          <w:rFonts w:cs="Tahoma"/>
          <w:b/>
          <w:bCs/>
          <w:sz w:val="22"/>
          <w:szCs w:val="22"/>
        </w:rPr>
      </w:pPr>
      <w:bookmarkStart w:id="2" w:name="_Toc47706333"/>
      <w:bookmarkStart w:id="3" w:name="_Toc51142260"/>
      <w:r w:rsidRPr="00AD5B3A">
        <w:rPr>
          <w:rFonts w:cs="Tahoma"/>
          <w:b/>
          <w:bCs/>
          <w:sz w:val="22"/>
          <w:szCs w:val="22"/>
        </w:rPr>
        <w:lastRenderedPageBreak/>
        <w:t>Ακρωνύμια</w:t>
      </w:r>
      <w:bookmarkEnd w:id="2"/>
      <w:bookmarkEnd w:id="3"/>
    </w:p>
    <w:p w14:paraId="72E5EF03" w14:textId="77777777" w:rsidR="00EC2CE9" w:rsidRPr="00AD5B3A" w:rsidRDefault="00EC2CE9" w:rsidP="00EC2CE9">
      <w:pPr>
        <w:rPr>
          <w:rFonts w:cs="Tahoma"/>
        </w:rPr>
      </w:pPr>
    </w:p>
    <w:tbl>
      <w:tblPr>
        <w:tblStyle w:val="ab"/>
        <w:tblW w:w="0" w:type="auto"/>
        <w:tblLook w:val="04A0" w:firstRow="1" w:lastRow="0" w:firstColumn="1" w:lastColumn="0" w:noHBand="0" w:noVBand="1"/>
      </w:tblPr>
      <w:tblGrid>
        <w:gridCol w:w="1696"/>
        <w:gridCol w:w="6600"/>
      </w:tblGrid>
      <w:tr w:rsidR="00EC2CE9" w:rsidRPr="00E04942" w14:paraId="5E518F69" w14:textId="77777777" w:rsidTr="00EC2CE9">
        <w:tc>
          <w:tcPr>
            <w:tcW w:w="1696" w:type="dxa"/>
            <w:shd w:val="clear" w:color="auto" w:fill="D0CECE" w:themeFill="background2" w:themeFillShade="E6"/>
          </w:tcPr>
          <w:p w14:paraId="7A0F2BC4" w14:textId="77777777" w:rsidR="00EC2CE9" w:rsidRPr="00AD5B3A" w:rsidRDefault="00EC2CE9" w:rsidP="00AE6983">
            <w:pPr>
              <w:jc w:val="both"/>
              <w:rPr>
                <w:rFonts w:cs="Tahoma"/>
                <w:b/>
              </w:rPr>
            </w:pPr>
            <w:r w:rsidRPr="00AD5B3A">
              <w:rPr>
                <w:rFonts w:cs="Tahoma"/>
                <w:b/>
              </w:rPr>
              <w:br w:type="page"/>
              <w:t>Ακρωνύμιο</w:t>
            </w:r>
          </w:p>
        </w:tc>
        <w:tc>
          <w:tcPr>
            <w:tcW w:w="6600" w:type="dxa"/>
            <w:shd w:val="clear" w:color="auto" w:fill="D0CECE" w:themeFill="background2" w:themeFillShade="E6"/>
          </w:tcPr>
          <w:p w14:paraId="330EEAC6" w14:textId="77777777" w:rsidR="00EC2CE9" w:rsidRPr="00AD5B3A" w:rsidRDefault="00EC2CE9" w:rsidP="00AE6983">
            <w:pPr>
              <w:jc w:val="both"/>
              <w:rPr>
                <w:rFonts w:cs="Tahoma"/>
                <w:b/>
              </w:rPr>
            </w:pPr>
            <w:r w:rsidRPr="00AD5B3A">
              <w:rPr>
                <w:rFonts w:cs="Tahoma"/>
                <w:b/>
              </w:rPr>
              <w:t>Ερμηνεία</w:t>
            </w:r>
          </w:p>
        </w:tc>
      </w:tr>
      <w:tr w:rsidR="00EC2CE9" w:rsidRPr="00E04942" w14:paraId="28802662" w14:textId="77777777" w:rsidTr="00EC2CE9">
        <w:tc>
          <w:tcPr>
            <w:tcW w:w="1696" w:type="dxa"/>
          </w:tcPr>
          <w:p w14:paraId="75EFDFD3" w14:textId="7211C50D" w:rsidR="00EC2CE9" w:rsidRPr="00EC2CE9" w:rsidRDefault="00EC2CE9" w:rsidP="00AE6983">
            <w:pPr>
              <w:jc w:val="both"/>
              <w:rPr>
                <w:rFonts w:cs="Tahoma"/>
              </w:rPr>
            </w:pPr>
            <w:proofErr w:type="spellStart"/>
            <w:r>
              <w:rPr>
                <w:rFonts w:cs="Tahoma"/>
              </w:rPr>
              <w:t>αΕΑΣ</w:t>
            </w:r>
            <w:proofErr w:type="spellEnd"/>
          </w:p>
        </w:tc>
        <w:tc>
          <w:tcPr>
            <w:tcW w:w="6600" w:type="dxa"/>
          </w:tcPr>
          <w:p w14:paraId="0E6A8BC1" w14:textId="390D1CED" w:rsidR="00EC2CE9" w:rsidRPr="00AD5B3A" w:rsidRDefault="00EC2CE9" w:rsidP="00AE6983">
            <w:pPr>
              <w:jc w:val="both"/>
              <w:rPr>
                <w:rFonts w:cs="Tahoma"/>
              </w:rPr>
            </w:pPr>
            <w:r>
              <w:rPr>
                <w:rFonts w:cs="Tahoma"/>
              </w:rPr>
              <w:t xml:space="preserve">Αυτόματη </w:t>
            </w:r>
            <w:r w:rsidRPr="00AD5B3A">
              <w:rPr>
                <w:rFonts w:cs="Tahoma"/>
              </w:rPr>
              <w:t>Εφεδρεία Αποκατάστασης Συχνότητας</w:t>
            </w:r>
          </w:p>
        </w:tc>
      </w:tr>
      <w:tr w:rsidR="00EC2CE9" w:rsidRPr="00E04942" w14:paraId="539DBF34" w14:textId="77777777" w:rsidTr="00EC2CE9">
        <w:tc>
          <w:tcPr>
            <w:tcW w:w="1696" w:type="dxa"/>
          </w:tcPr>
          <w:p w14:paraId="79F7950B" w14:textId="77777777" w:rsidR="00EC2CE9" w:rsidRPr="00AD5B3A" w:rsidRDefault="00EC2CE9" w:rsidP="00AE6983">
            <w:pPr>
              <w:jc w:val="both"/>
              <w:rPr>
                <w:rFonts w:cs="Tahoma"/>
              </w:rPr>
            </w:pPr>
            <w:r w:rsidRPr="00AD5B3A">
              <w:rPr>
                <w:rFonts w:cs="Tahoma"/>
              </w:rPr>
              <w:t>ΑΔΜΗΕ</w:t>
            </w:r>
          </w:p>
        </w:tc>
        <w:tc>
          <w:tcPr>
            <w:tcW w:w="6600" w:type="dxa"/>
          </w:tcPr>
          <w:p w14:paraId="2A1DC866" w14:textId="77777777" w:rsidR="00EC2CE9" w:rsidRPr="00AD5B3A" w:rsidRDefault="00EC2CE9" w:rsidP="00AE6983">
            <w:pPr>
              <w:jc w:val="both"/>
              <w:rPr>
                <w:rFonts w:cs="Tahoma"/>
              </w:rPr>
            </w:pPr>
            <w:r w:rsidRPr="00AD5B3A">
              <w:rPr>
                <w:rFonts w:cs="Tahoma"/>
              </w:rPr>
              <w:t>Ανεξάρτητος Διαχειριστής Μεταφοράς Ηλεκτρικής Ενέργειας</w:t>
            </w:r>
          </w:p>
        </w:tc>
      </w:tr>
      <w:tr w:rsidR="00EC2CE9" w:rsidRPr="00E04942" w14:paraId="6F69D083" w14:textId="77777777" w:rsidTr="00EC2CE9">
        <w:tc>
          <w:tcPr>
            <w:tcW w:w="1696" w:type="dxa"/>
          </w:tcPr>
          <w:p w14:paraId="1DE5D918" w14:textId="77777777" w:rsidR="00EC2CE9" w:rsidRPr="00AD5B3A" w:rsidRDefault="00EC2CE9" w:rsidP="00AE6983">
            <w:pPr>
              <w:jc w:val="both"/>
              <w:rPr>
                <w:rFonts w:cs="Tahoma"/>
              </w:rPr>
            </w:pPr>
            <w:r w:rsidRPr="00AD5B3A">
              <w:rPr>
                <w:rFonts w:cs="Tahoma"/>
              </w:rPr>
              <w:t>ΔΣΜ</w:t>
            </w:r>
          </w:p>
        </w:tc>
        <w:tc>
          <w:tcPr>
            <w:tcW w:w="6600" w:type="dxa"/>
          </w:tcPr>
          <w:p w14:paraId="15C6319B" w14:textId="77777777" w:rsidR="00EC2CE9" w:rsidRPr="00AD5B3A" w:rsidRDefault="00EC2CE9" w:rsidP="00AE6983">
            <w:pPr>
              <w:jc w:val="both"/>
              <w:rPr>
                <w:rFonts w:cs="Tahoma"/>
              </w:rPr>
            </w:pPr>
            <w:r w:rsidRPr="00AD5B3A">
              <w:rPr>
                <w:rFonts w:cs="Tahoma"/>
              </w:rPr>
              <w:t>Διαχειριστής Συστήματος Μεταφοράς</w:t>
            </w:r>
          </w:p>
        </w:tc>
      </w:tr>
      <w:tr w:rsidR="00EC2CE9" w:rsidRPr="00E04942" w14:paraId="3948C454" w14:textId="77777777" w:rsidTr="00EC2CE9">
        <w:tc>
          <w:tcPr>
            <w:tcW w:w="1696" w:type="dxa"/>
          </w:tcPr>
          <w:p w14:paraId="49711D30" w14:textId="77777777" w:rsidR="00EC2CE9" w:rsidRPr="00AD5B3A" w:rsidRDefault="00EC2CE9" w:rsidP="00AE6983">
            <w:pPr>
              <w:jc w:val="both"/>
              <w:rPr>
                <w:rFonts w:cs="Tahoma"/>
              </w:rPr>
            </w:pPr>
            <w:r w:rsidRPr="00AD5B3A">
              <w:rPr>
                <w:rFonts w:cs="Tahoma"/>
              </w:rPr>
              <w:t>ΕΑΣ</w:t>
            </w:r>
          </w:p>
        </w:tc>
        <w:tc>
          <w:tcPr>
            <w:tcW w:w="6600" w:type="dxa"/>
          </w:tcPr>
          <w:p w14:paraId="13798DFC" w14:textId="77777777" w:rsidR="00EC2CE9" w:rsidRPr="00AD5B3A" w:rsidRDefault="00EC2CE9" w:rsidP="00AE6983">
            <w:pPr>
              <w:jc w:val="both"/>
              <w:rPr>
                <w:rFonts w:cs="Tahoma"/>
              </w:rPr>
            </w:pPr>
            <w:r w:rsidRPr="00AD5B3A">
              <w:rPr>
                <w:rFonts w:cs="Tahoma"/>
              </w:rPr>
              <w:t>Εφεδρεία Αποκατάστασης Συχνότητας</w:t>
            </w:r>
          </w:p>
        </w:tc>
      </w:tr>
      <w:tr w:rsidR="00EC2CE9" w:rsidRPr="00E04942" w14:paraId="18D842AB" w14:textId="77777777" w:rsidTr="00EC2CE9">
        <w:tc>
          <w:tcPr>
            <w:tcW w:w="1696" w:type="dxa"/>
          </w:tcPr>
          <w:p w14:paraId="37A0A4CE" w14:textId="77777777" w:rsidR="00EC2CE9" w:rsidRPr="00AD5B3A" w:rsidRDefault="00EC2CE9" w:rsidP="00AE6983">
            <w:pPr>
              <w:jc w:val="both"/>
              <w:rPr>
                <w:rFonts w:cs="Tahoma"/>
              </w:rPr>
            </w:pPr>
            <w:r w:rsidRPr="00AD5B3A">
              <w:rPr>
                <w:rFonts w:cs="Tahoma"/>
              </w:rPr>
              <w:t>ΕΔΣ</w:t>
            </w:r>
          </w:p>
        </w:tc>
        <w:tc>
          <w:tcPr>
            <w:tcW w:w="6600" w:type="dxa"/>
          </w:tcPr>
          <w:p w14:paraId="28DF47F5" w14:textId="77777777" w:rsidR="00EC2CE9" w:rsidRPr="00AD5B3A" w:rsidRDefault="00EC2CE9" w:rsidP="00AE6983">
            <w:pPr>
              <w:jc w:val="both"/>
              <w:rPr>
                <w:rFonts w:cs="Tahoma"/>
              </w:rPr>
            </w:pPr>
            <w:r w:rsidRPr="00AD5B3A">
              <w:rPr>
                <w:rFonts w:cs="Tahoma"/>
              </w:rPr>
              <w:t>Εφεδρεία Διατήρησης Συχνότητας</w:t>
            </w:r>
          </w:p>
        </w:tc>
      </w:tr>
      <w:tr w:rsidR="00EC2CE9" w:rsidRPr="00E04942" w14:paraId="590682B0" w14:textId="77777777" w:rsidTr="00EC2CE9">
        <w:tc>
          <w:tcPr>
            <w:tcW w:w="1696" w:type="dxa"/>
          </w:tcPr>
          <w:p w14:paraId="3B826A98" w14:textId="77777777" w:rsidR="00EC2CE9" w:rsidRPr="00AD5B3A" w:rsidRDefault="00EC2CE9" w:rsidP="00AE6983">
            <w:pPr>
              <w:jc w:val="both"/>
              <w:rPr>
                <w:rFonts w:cs="Tahoma"/>
              </w:rPr>
            </w:pPr>
            <w:r w:rsidRPr="00AD5B3A">
              <w:rPr>
                <w:rFonts w:cs="Tahoma"/>
              </w:rPr>
              <w:t>ΕΣΜΗΕ</w:t>
            </w:r>
          </w:p>
        </w:tc>
        <w:tc>
          <w:tcPr>
            <w:tcW w:w="6600" w:type="dxa"/>
          </w:tcPr>
          <w:p w14:paraId="15402635" w14:textId="77777777" w:rsidR="00EC2CE9" w:rsidRPr="00AD5B3A" w:rsidRDefault="00EC2CE9" w:rsidP="00AE6983">
            <w:pPr>
              <w:jc w:val="both"/>
              <w:rPr>
                <w:rFonts w:cs="Tahoma"/>
              </w:rPr>
            </w:pPr>
            <w:r w:rsidRPr="00AD5B3A">
              <w:rPr>
                <w:rFonts w:cs="Tahoma"/>
              </w:rPr>
              <w:t>Ελληνικό Σύστημα Μεταφοράς Ηλεκτρικής Ενέργειας</w:t>
            </w:r>
          </w:p>
        </w:tc>
      </w:tr>
      <w:tr w:rsidR="0013452D" w:rsidRPr="00E04942" w14:paraId="3397B7A2" w14:textId="77777777" w:rsidTr="00EC2CE9">
        <w:tc>
          <w:tcPr>
            <w:tcW w:w="1696" w:type="dxa"/>
          </w:tcPr>
          <w:p w14:paraId="7BC27BAA" w14:textId="65FF1626" w:rsidR="0013452D" w:rsidRPr="00AD5B3A" w:rsidRDefault="0013452D" w:rsidP="00AE6983">
            <w:pPr>
              <w:jc w:val="both"/>
              <w:rPr>
                <w:rFonts w:cs="Tahoma"/>
              </w:rPr>
            </w:pPr>
            <w:r>
              <w:rPr>
                <w:rFonts w:cs="Tahoma"/>
              </w:rPr>
              <w:t>ΕΦΣ</w:t>
            </w:r>
          </w:p>
        </w:tc>
        <w:tc>
          <w:tcPr>
            <w:tcW w:w="6600" w:type="dxa"/>
          </w:tcPr>
          <w:p w14:paraId="6F0F28A8" w14:textId="524AC8AD" w:rsidR="0013452D" w:rsidRPr="00AD5B3A" w:rsidRDefault="0013452D" w:rsidP="00AE6983">
            <w:pPr>
              <w:jc w:val="both"/>
              <w:rPr>
                <w:rFonts w:cs="Tahoma"/>
              </w:rPr>
            </w:pPr>
            <w:r>
              <w:rPr>
                <w:rFonts w:cs="Tahoma"/>
              </w:rPr>
              <w:t>Έλεγχος Φορτίου Συχνότητας</w:t>
            </w:r>
          </w:p>
        </w:tc>
      </w:tr>
      <w:tr w:rsidR="00FF078A" w:rsidRPr="00E04942" w14:paraId="01D70042" w14:textId="77777777" w:rsidTr="00EC2CE9">
        <w:tc>
          <w:tcPr>
            <w:tcW w:w="1696" w:type="dxa"/>
          </w:tcPr>
          <w:p w14:paraId="01A7D63B" w14:textId="769F4080" w:rsidR="00FF078A" w:rsidRPr="00AD5B3A" w:rsidRDefault="00FF078A" w:rsidP="00AE6983">
            <w:pPr>
              <w:jc w:val="both"/>
              <w:rPr>
                <w:rFonts w:cs="Tahoma"/>
              </w:rPr>
            </w:pPr>
            <w:r>
              <w:rPr>
                <w:rFonts w:cs="Tahoma"/>
              </w:rPr>
              <w:t>ΗΕ</w:t>
            </w:r>
          </w:p>
        </w:tc>
        <w:tc>
          <w:tcPr>
            <w:tcW w:w="6600" w:type="dxa"/>
          </w:tcPr>
          <w:p w14:paraId="1ED238BA" w14:textId="6657200E" w:rsidR="00FF078A" w:rsidRPr="00AD5B3A" w:rsidRDefault="00FF078A" w:rsidP="00AE6983">
            <w:pPr>
              <w:jc w:val="both"/>
              <w:rPr>
                <w:rFonts w:cs="Tahoma"/>
              </w:rPr>
            </w:pPr>
            <w:r>
              <w:rPr>
                <w:rFonts w:cs="Tahoma"/>
              </w:rPr>
              <w:t>Ηπειρωτική Ευρώπη</w:t>
            </w:r>
          </w:p>
        </w:tc>
      </w:tr>
      <w:tr w:rsidR="00EC2CE9" w:rsidRPr="00E04942" w14:paraId="2F8F4C71" w14:textId="77777777" w:rsidTr="00EC2CE9">
        <w:tc>
          <w:tcPr>
            <w:tcW w:w="1696" w:type="dxa"/>
          </w:tcPr>
          <w:p w14:paraId="69D0860F" w14:textId="77777777" w:rsidR="00EC2CE9" w:rsidRPr="00AD5B3A" w:rsidRDefault="00EC2CE9" w:rsidP="00AE6983">
            <w:pPr>
              <w:jc w:val="both"/>
              <w:rPr>
                <w:rFonts w:cs="Tahoma"/>
              </w:rPr>
            </w:pPr>
            <w:r w:rsidRPr="00AD5B3A">
              <w:rPr>
                <w:rFonts w:cs="Tahoma"/>
              </w:rPr>
              <w:t>ΟΔΑΗΕ</w:t>
            </w:r>
          </w:p>
        </w:tc>
        <w:tc>
          <w:tcPr>
            <w:tcW w:w="6600" w:type="dxa"/>
          </w:tcPr>
          <w:p w14:paraId="7FB3CB68" w14:textId="77777777" w:rsidR="00EC2CE9" w:rsidRPr="00AD5B3A" w:rsidRDefault="00EC2CE9" w:rsidP="00AE6983">
            <w:pPr>
              <w:jc w:val="both"/>
              <w:rPr>
                <w:rFonts w:cs="Tahoma"/>
              </w:rPr>
            </w:pPr>
            <w:r w:rsidRPr="00AD5B3A">
              <w:rPr>
                <w:rFonts w:cs="Tahoma"/>
              </w:rPr>
              <w:t>Οργανισμός Διαχείρισης Αγοράς Ηλεκτρικής Ενέργειας</w:t>
            </w:r>
          </w:p>
        </w:tc>
      </w:tr>
      <w:tr w:rsidR="00EC2CE9" w:rsidRPr="00E04942" w14:paraId="105D774D" w14:textId="77777777" w:rsidTr="00EC2CE9">
        <w:tc>
          <w:tcPr>
            <w:tcW w:w="1696" w:type="dxa"/>
          </w:tcPr>
          <w:p w14:paraId="2774680A" w14:textId="77777777" w:rsidR="00EC2CE9" w:rsidRPr="00C906B8" w:rsidRDefault="00EC2CE9" w:rsidP="00AE6983">
            <w:pPr>
              <w:jc w:val="both"/>
              <w:rPr>
                <w:rFonts w:cs="Tahoma"/>
              </w:rPr>
            </w:pPr>
            <w:r>
              <w:rPr>
                <w:rFonts w:cs="Tahoma"/>
              </w:rPr>
              <w:t>ΣΧ</w:t>
            </w:r>
          </w:p>
        </w:tc>
        <w:tc>
          <w:tcPr>
            <w:tcW w:w="6600" w:type="dxa"/>
          </w:tcPr>
          <w:p w14:paraId="37C80B12" w14:textId="77777777" w:rsidR="00EC2CE9" w:rsidRPr="00C906B8" w:rsidRDefault="00EC2CE9" w:rsidP="00AE6983">
            <w:pPr>
              <w:jc w:val="both"/>
              <w:rPr>
                <w:rFonts w:cs="Tahoma"/>
              </w:rPr>
            </w:pPr>
            <w:r>
              <w:rPr>
                <w:rFonts w:cs="Tahoma"/>
              </w:rPr>
              <w:t>Σημαντικός Χρήστης</w:t>
            </w:r>
          </w:p>
        </w:tc>
      </w:tr>
      <w:tr w:rsidR="00EC2CE9" w:rsidRPr="00E04942" w14:paraId="7FADF4C9" w14:textId="77777777" w:rsidTr="00EC2CE9">
        <w:tc>
          <w:tcPr>
            <w:tcW w:w="1696" w:type="dxa"/>
          </w:tcPr>
          <w:p w14:paraId="648A9F4D" w14:textId="7E0F7EF5" w:rsidR="00EC2CE9" w:rsidRPr="00EC2CE9" w:rsidRDefault="00EC2CE9" w:rsidP="00AE6983">
            <w:pPr>
              <w:jc w:val="both"/>
              <w:rPr>
                <w:rFonts w:cs="Tahoma"/>
              </w:rPr>
            </w:pPr>
            <w:proofErr w:type="spellStart"/>
            <w:r>
              <w:rPr>
                <w:rFonts w:cs="Tahoma"/>
              </w:rPr>
              <w:t>χΕΑΣ</w:t>
            </w:r>
            <w:proofErr w:type="spellEnd"/>
          </w:p>
        </w:tc>
        <w:tc>
          <w:tcPr>
            <w:tcW w:w="6600" w:type="dxa"/>
          </w:tcPr>
          <w:p w14:paraId="350E465C" w14:textId="5155DC9A" w:rsidR="00EC2CE9" w:rsidRPr="00EC2CE9" w:rsidRDefault="00EC2CE9" w:rsidP="00AE6983">
            <w:pPr>
              <w:jc w:val="both"/>
              <w:rPr>
                <w:rFonts w:cs="Tahoma"/>
              </w:rPr>
            </w:pPr>
            <w:r>
              <w:rPr>
                <w:rFonts w:cs="Tahoma"/>
              </w:rPr>
              <w:t xml:space="preserve">Χειροκίνητη </w:t>
            </w:r>
            <w:r w:rsidRPr="00AD5B3A">
              <w:rPr>
                <w:rFonts w:cs="Tahoma"/>
              </w:rPr>
              <w:t>Εφεδρεία Αποκατάστασης Συχνότητας</w:t>
            </w:r>
          </w:p>
        </w:tc>
      </w:tr>
      <w:tr w:rsidR="00EC2CE9" w:rsidRPr="00E04942" w14:paraId="35F3C63B" w14:textId="77777777" w:rsidTr="00EC2CE9">
        <w:tc>
          <w:tcPr>
            <w:tcW w:w="1696" w:type="dxa"/>
          </w:tcPr>
          <w:p w14:paraId="6CB67C91" w14:textId="77777777" w:rsidR="00EC2CE9" w:rsidRPr="00AC43AD" w:rsidRDefault="00EC2CE9" w:rsidP="00AE6983">
            <w:pPr>
              <w:jc w:val="both"/>
              <w:rPr>
                <w:rFonts w:cs="Tahoma"/>
                <w:lang w:val="en-US"/>
              </w:rPr>
            </w:pPr>
            <w:r>
              <w:rPr>
                <w:rFonts w:cs="Tahoma"/>
                <w:lang w:val="en-US"/>
              </w:rPr>
              <w:t>CCR</w:t>
            </w:r>
          </w:p>
        </w:tc>
        <w:tc>
          <w:tcPr>
            <w:tcW w:w="6600" w:type="dxa"/>
          </w:tcPr>
          <w:p w14:paraId="2FD5BE56" w14:textId="77777777" w:rsidR="00EC2CE9" w:rsidRPr="00AC43AD" w:rsidRDefault="00EC2CE9" w:rsidP="00AE6983">
            <w:pPr>
              <w:jc w:val="both"/>
              <w:rPr>
                <w:rFonts w:cs="Tahoma"/>
                <w:lang w:val="en-US"/>
              </w:rPr>
            </w:pPr>
            <w:r>
              <w:rPr>
                <w:rFonts w:cs="Tahoma"/>
                <w:lang w:val="en-US"/>
              </w:rPr>
              <w:t>Capacity Calculation Region</w:t>
            </w:r>
          </w:p>
        </w:tc>
      </w:tr>
      <w:tr w:rsidR="00EC2CE9" w:rsidRPr="00E04942" w14:paraId="252C9B87" w14:textId="77777777" w:rsidTr="00EC2CE9">
        <w:tc>
          <w:tcPr>
            <w:tcW w:w="1696" w:type="dxa"/>
          </w:tcPr>
          <w:p w14:paraId="640888DE" w14:textId="77777777" w:rsidR="00EC2CE9" w:rsidRPr="00AD5B3A" w:rsidRDefault="00EC2CE9" w:rsidP="00AE6983">
            <w:pPr>
              <w:jc w:val="both"/>
              <w:rPr>
                <w:rFonts w:cs="Tahoma"/>
                <w:lang w:val="en-US"/>
              </w:rPr>
            </w:pPr>
            <w:r>
              <w:rPr>
                <w:rFonts w:cs="Tahoma"/>
                <w:lang w:val="en-US"/>
              </w:rPr>
              <w:t>RTBM</w:t>
            </w:r>
          </w:p>
        </w:tc>
        <w:tc>
          <w:tcPr>
            <w:tcW w:w="6600" w:type="dxa"/>
          </w:tcPr>
          <w:p w14:paraId="367798C5" w14:textId="77777777" w:rsidR="00EC2CE9" w:rsidRPr="00AD5B3A" w:rsidRDefault="00EC2CE9" w:rsidP="00AE6983">
            <w:pPr>
              <w:jc w:val="both"/>
              <w:rPr>
                <w:rFonts w:cs="Tahoma"/>
                <w:lang w:val="en-US"/>
              </w:rPr>
            </w:pPr>
            <w:r>
              <w:rPr>
                <w:rFonts w:cs="Tahoma"/>
                <w:lang w:val="en-US"/>
              </w:rPr>
              <w:t>Real Time Balancing Market</w:t>
            </w:r>
          </w:p>
        </w:tc>
      </w:tr>
    </w:tbl>
    <w:p w14:paraId="18526D12" w14:textId="77777777" w:rsidR="00EC2CE9" w:rsidRDefault="00EC2CE9" w:rsidP="004B2276">
      <w:pPr>
        <w:pStyle w:val="1"/>
      </w:pPr>
    </w:p>
    <w:p w14:paraId="0027E08D" w14:textId="14DE2989" w:rsidR="00EC2CE9" w:rsidRDefault="00EC2CE9" w:rsidP="004B2276">
      <w:pPr>
        <w:pStyle w:val="1"/>
      </w:pPr>
    </w:p>
    <w:p w14:paraId="29EC3BF9" w14:textId="66C58113" w:rsidR="00EC2CE9" w:rsidRDefault="00EC2CE9">
      <w:r>
        <w:br w:type="page"/>
      </w:r>
    </w:p>
    <w:p w14:paraId="061565C3" w14:textId="2D2F06E2" w:rsidR="004B2276" w:rsidRDefault="004B2276" w:rsidP="004B2276">
      <w:pPr>
        <w:pStyle w:val="1"/>
      </w:pPr>
      <w:bookmarkStart w:id="4" w:name="_Toc51142261"/>
      <w:r>
        <w:lastRenderedPageBreak/>
        <w:t>Πρόλογος</w:t>
      </w:r>
      <w:bookmarkEnd w:id="4"/>
    </w:p>
    <w:p w14:paraId="7AAAC6C5" w14:textId="1225FBC8" w:rsidR="004B2276" w:rsidRDefault="004B2276" w:rsidP="004B2276">
      <w:r>
        <w:t>Με το παρόν</w:t>
      </w:r>
      <w:r w:rsidR="004D5560">
        <w:t>,</w:t>
      </w:r>
      <w:r>
        <w:t xml:space="preserve"> ο Διαχειριστής του Εθνικού Συστήματος Μεταφοράς Ηλεκτρικής Ενέργειας</w:t>
      </w:r>
      <w:r w:rsidR="00FD5139">
        <w:t xml:space="preserve"> (εφεξής ΔΣΜ)</w:t>
      </w:r>
      <w:r>
        <w:t xml:space="preserve"> </w:t>
      </w:r>
      <w:r w:rsidR="00AF5070">
        <w:t xml:space="preserve">έχοντας υπόψιν του τα αναφερόμενα επί του </w:t>
      </w:r>
      <w:proofErr w:type="spellStart"/>
      <w:r w:rsidR="0009033A">
        <w:t>αρ</w:t>
      </w:r>
      <w:proofErr w:type="spellEnd"/>
      <w:r w:rsidR="0009033A">
        <w:t>.</w:t>
      </w:r>
      <w:r w:rsidR="00AF5070">
        <w:t xml:space="preserve"> 6 παρ</w:t>
      </w:r>
      <w:r w:rsidR="0009033A">
        <w:t>.</w:t>
      </w:r>
      <w:r w:rsidR="00AF5070">
        <w:t xml:space="preserve"> 3 </w:t>
      </w:r>
      <w:r w:rsidR="00F63C18">
        <w:t xml:space="preserve">σημείου </w:t>
      </w:r>
      <w:r w:rsidR="00AF5070">
        <w:t xml:space="preserve">ε) του Κανονισμού (ΕΕ) 2017/1485 δημοσιεύει τις </w:t>
      </w:r>
      <w:r w:rsidR="00F63C18">
        <w:t>θέσεις του</w:t>
      </w:r>
      <w:r w:rsidR="00AF5070">
        <w:t xml:space="preserve"> σχετικά με </w:t>
      </w:r>
      <w:r w:rsidR="00F63C18">
        <w:t>τις παρακάτω απαιτήσεις</w:t>
      </w:r>
      <w:r w:rsidR="00AF5070">
        <w:t>:</w:t>
      </w:r>
    </w:p>
    <w:p w14:paraId="101A5712" w14:textId="314BED85" w:rsidR="00AF5070" w:rsidRDefault="00243EF1" w:rsidP="00AF5070">
      <w:pPr>
        <w:pStyle w:val="a3"/>
        <w:numPr>
          <w:ilvl w:val="0"/>
          <w:numId w:val="4"/>
        </w:numPr>
      </w:pPr>
      <w:r>
        <w:t xml:space="preserve">Περιορισμούς μεταβολής στην παραγωγή ενεργού ισχύος σύμφωνα με το </w:t>
      </w:r>
      <w:proofErr w:type="spellStart"/>
      <w:r>
        <w:t>άρ</w:t>
      </w:r>
      <w:proofErr w:type="spellEnd"/>
      <w:r w:rsidR="00364407">
        <w:t>.</w:t>
      </w:r>
      <w:r>
        <w:t xml:space="preserve"> 137(3)(4).</w:t>
      </w:r>
    </w:p>
    <w:p w14:paraId="1EAC8842" w14:textId="7993BE72" w:rsidR="00243EF1" w:rsidRDefault="00243EF1" w:rsidP="00AF5070">
      <w:pPr>
        <w:pStyle w:val="a3"/>
        <w:numPr>
          <w:ilvl w:val="0"/>
          <w:numId w:val="4"/>
        </w:numPr>
      </w:pPr>
      <w:r>
        <w:t xml:space="preserve">Τον συντονισμό ενεργειών για τη μείωση του ΣΕΑΣ όπως ορίζεται στο </w:t>
      </w:r>
      <w:proofErr w:type="spellStart"/>
      <w:r w:rsidR="00364407">
        <w:t>αρ</w:t>
      </w:r>
      <w:proofErr w:type="spellEnd"/>
      <w:r w:rsidR="00364407">
        <w:t xml:space="preserve">. </w:t>
      </w:r>
      <w:r>
        <w:t>152(14)</w:t>
      </w:r>
      <w:r w:rsidR="00364407">
        <w:t>.</w:t>
      </w:r>
    </w:p>
    <w:p w14:paraId="3B00BFFA" w14:textId="446A9BAD" w:rsidR="00364407" w:rsidRDefault="00364407" w:rsidP="00AF5070">
      <w:pPr>
        <w:pStyle w:val="a3"/>
        <w:numPr>
          <w:ilvl w:val="0"/>
          <w:numId w:val="4"/>
        </w:numPr>
      </w:pPr>
      <w:r>
        <w:t xml:space="preserve">Μέτρα για τη μείωση του ΣΕΑΣ, με την επιβολή αλλαγών στην παραγωγή ή την κατανάλωση ενεργού ισχύος των μονάδων ηλεκτροπαραγωγής και των μονάδων ζήτησης σύμφωνα με το </w:t>
      </w:r>
      <w:proofErr w:type="spellStart"/>
      <w:r>
        <w:t>άρ</w:t>
      </w:r>
      <w:proofErr w:type="spellEnd"/>
      <w:r>
        <w:t>. 152(16).</w:t>
      </w:r>
    </w:p>
    <w:p w14:paraId="01F603FD" w14:textId="29806EAD" w:rsidR="00364407" w:rsidRDefault="00364407" w:rsidP="00AF5070">
      <w:pPr>
        <w:pStyle w:val="a3"/>
        <w:numPr>
          <w:ilvl w:val="0"/>
          <w:numId w:val="4"/>
        </w:numPr>
      </w:pPr>
      <w:r>
        <w:t xml:space="preserve">Τους κανόνες προσδιορισμού ΕΑΣ σύμφωνα με το </w:t>
      </w:r>
      <w:proofErr w:type="spellStart"/>
      <w:r>
        <w:t>αρ</w:t>
      </w:r>
      <w:proofErr w:type="spellEnd"/>
      <w:r>
        <w:t>. 157(1).</w:t>
      </w:r>
    </w:p>
    <w:p w14:paraId="34B181E5" w14:textId="598E561E" w:rsidR="00364407" w:rsidRDefault="00364407" w:rsidP="00A775CD">
      <w:pPr>
        <w:pStyle w:val="a3"/>
        <w:numPr>
          <w:ilvl w:val="0"/>
          <w:numId w:val="4"/>
        </w:numPr>
      </w:pPr>
      <w:r>
        <w:t xml:space="preserve">Μέτρα μετριασμού ανά συγχρονισμένη περιοχή ή ανά ενότητα ΕΦΣ σύμφωνα με το </w:t>
      </w:r>
      <w:proofErr w:type="spellStart"/>
      <w:r>
        <w:t>αρ</w:t>
      </w:r>
      <w:proofErr w:type="spellEnd"/>
      <w:r>
        <w:t>. 138.</w:t>
      </w:r>
    </w:p>
    <w:p w14:paraId="225F5F94" w14:textId="3EDC905F" w:rsidR="004B2276" w:rsidRDefault="0009033A" w:rsidP="00E35540">
      <w:pPr>
        <w:pStyle w:val="a3"/>
        <w:numPr>
          <w:ilvl w:val="0"/>
          <w:numId w:val="4"/>
        </w:numPr>
      </w:pPr>
      <w:r>
        <w:t xml:space="preserve">Τεχνικές απαιτήσεις για τη σύνδεση μονάδων ΕΑ που ορίζονται από τον ΔΣΜ σύμφωνα με το </w:t>
      </w:r>
      <w:proofErr w:type="spellStart"/>
      <w:r>
        <w:t>αρ</w:t>
      </w:r>
      <w:proofErr w:type="spellEnd"/>
      <w:r>
        <w:t>. 161(3).</w:t>
      </w:r>
      <w:r w:rsidR="004B2276">
        <w:br w:type="page"/>
      </w:r>
    </w:p>
    <w:p w14:paraId="30A61EE7" w14:textId="7DEDAEFF" w:rsidR="005E48BE" w:rsidRPr="004B2276" w:rsidRDefault="00BB7DB7" w:rsidP="005E48BE">
      <w:r w:rsidRPr="004B2276">
        <w:lastRenderedPageBreak/>
        <w:t>Έχοντας υπόψιν τα</w:t>
      </w:r>
      <w:r w:rsidR="005E48BE" w:rsidRPr="004B2276">
        <w:t xml:space="preserve"> εξής:</w:t>
      </w:r>
    </w:p>
    <w:p w14:paraId="400488E2" w14:textId="2E9B5532" w:rsidR="005E48BE" w:rsidRPr="004B2276" w:rsidRDefault="005E48BE" w:rsidP="008B2073">
      <w:pPr>
        <w:pStyle w:val="a3"/>
        <w:numPr>
          <w:ilvl w:val="0"/>
          <w:numId w:val="5"/>
        </w:numPr>
      </w:pPr>
      <w:r w:rsidRPr="004B2276">
        <w:t xml:space="preserve">Ο </w:t>
      </w:r>
      <w:r w:rsidR="00E35540">
        <w:t>Κ</w:t>
      </w:r>
      <w:r w:rsidRPr="004B2276">
        <w:t xml:space="preserve">ανονισμός (ΕΕ) 2017/1485 της Επιτροπής, της 2ας Αυγούστου 2017 (εφεξής ο </w:t>
      </w:r>
      <w:r w:rsidR="00E35540">
        <w:t>Κ</w:t>
      </w:r>
      <w:r w:rsidRPr="004B2276">
        <w:t>ανονισμός) καθορίζει κατευθυντήριες γραμμές για τη διαχείριση του συστήματος μεταφοράς ηλεκτρικής ενέργειας.</w:t>
      </w:r>
    </w:p>
    <w:p w14:paraId="7B19D6F3" w14:textId="25686D9F" w:rsidR="005E48BE" w:rsidRPr="004B2276" w:rsidRDefault="005E48BE" w:rsidP="008B2073">
      <w:pPr>
        <w:pStyle w:val="a3"/>
        <w:numPr>
          <w:ilvl w:val="0"/>
          <w:numId w:val="5"/>
        </w:numPr>
      </w:pPr>
      <w:r w:rsidRPr="004B2276">
        <w:t xml:space="preserve">Η πρόταση για τον ορισμό των </w:t>
      </w:r>
      <w:r w:rsidR="00590E50" w:rsidRPr="004B2276">
        <w:t>ενοτήτων</w:t>
      </w:r>
      <w:r w:rsidRPr="004B2276">
        <w:t xml:space="preserve"> </w:t>
      </w:r>
      <w:r w:rsidR="00BB7DB7" w:rsidRPr="004B2276">
        <w:t>Ελέγχου Φορτίου Συχνότητας</w:t>
      </w:r>
      <w:r w:rsidR="00C3228A" w:rsidRPr="004B2276">
        <w:t xml:space="preserve"> </w:t>
      </w:r>
      <w:r w:rsidRPr="004B2276">
        <w:t>(</w:t>
      </w:r>
      <w:r w:rsidR="00590E50" w:rsidRPr="004B2276">
        <w:t>ενότητα</w:t>
      </w:r>
      <w:r w:rsidRPr="004B2276">
        <w:t xml:space="preserve"> </w:t>
      </w:r>
      <w:r w:rsidR="00590E50" w:rsidRPr="004B2276">
        <w:t>ΕΦΣ</w:t>
      </w:r>
      <w:r w:rsidRPr="004B2276">
        <w:t xml:space="preserve">) για τη σύγχρονη περιοχή της </w:t>
      </w:r>
      <w:r w:rsidR="00BE1147">
        <w:t>Η</w:t>
      </w:r>
      <w:r w:rsidRPr="004B2276">
        <w:t>πειρωτικής Ευρώπης</w:t>
      </w:r>
      <w:r w:rsidR="00BE1147">
        <w:t xml:space="preserve"> (ΗΕ)</w:t>
      </w:r>
      <w:r w:rsidRPr="004B2276">
        <w:t xml:space="preserve">, που εκπονήθηκε από όλους τους ΔΣΜ που ανήκουν σε αυτήν την περιοχή, έχει υποβληθεί </w:t>
      </w:r>
      <w:r w:rsidR="009B45B8" w:rsidRPr="004B2276">
        <w:t>προς</w:t>
      </w:r>
      <w:r w:rsidRPr="004B2276">
        <w:t xml:space="preserve"> έγκριση </w:t>
      </w:r>
      <w:r w:rsidR="009B45B8" w:rsidRPr="004B2276">
        <w:t>από τις αρμόδιες</w:t>
      </w:r>
      <w:r w:rsidRPr="004B2276">
        <w:t xml:space="preserve"> </w:t>
      </w:r>
      <w:r w:rsidR="009B45B8" w:rsidRPr="004B2276">
        <w:t>ρυθμιστικές αρχές</w:t>
      </w:r>
      <w:r w:rsidRPr="004B2276">
        <w:t xml:space="preserve"> σύμφωνα με τα άρθρα 7 (1) και 141 (2) του </w:t>
      </w:r>
      <w:r w:rsidR="003E31B7">
        <w:t>Κ</w:t>
      </w:r>
      <w:r w:rsidRPr="004B2276">
        <w:t>ανονισμού</w:t>
      </w:r>
      <w:r w:rsidR="003E31B7">
        <w:t xml:space="preserve"> (ΕΕ) 2017/1485</w:t>
      </w:r>
      <w:r w:rsidRPr="004B2276">
        <w:t xml:space="preserve">. Η παρούσα πρόταση ορίζει </w:t>
      </w:r>
      <w:r w:rsidR="00590E50" w:rsidRPr="004B2276">
        <w:t>την ενότητα ΕΦΣ</w:t>
      </w:r>
      <w:r w:rsidRPr="004B2276">
        <w:t xml:space="preserve">, </w:t>
      </w:r>
      <w:r w:rsidR="00BB7DB7" w:rsidRPr="004B2276">
        <w:t xml:space="preserve">περιοχές </w:t>
      </w:r>
      <w:r w:rsidR="00590E50" w:rsidRPr="004B2276">
        <w:t>ΕΦΣ</w:t>
      </w:r>
      <w:r w:rsidRPr="004B2276">
        <w:t xml:space="preserve"> και περιοχές παρακολούθησης για τη σύγχρονη περιοχή της </w:t>
      </w:r>
      <w:r w:rsidR="003E31B7">
        <w:t>ΗΕ</w:t>
      </w:r>
      <w:r w:rsidRPr="004B2276">
        <w:t xml:space="preserve"> και, για την </w:t>
      </w:r>
      <w:r w:rsidR="00FC5FB5" w:rsidRPr="004B2276">
        <w:t>Ελλάδα</w:t>
      </w:r>
      <w:r w:rsidRPr="004B2276">
        <w:t xml:space="preserve">, ορίζεται </w:t>
      </w:r>
      <w:r w:rsidR="00FC5FB5" w:rsidRPr="004B2276">
        <w:t>ο ΑΔΜΗΕ</w:t>
      </w:r>
      <w:r w:rsidRPr="004B2276">
        <w:t xml:space="preserve"> ως ΔΣΜ αναφοράς.</w:t>
      </w:r>
    </w:p>
    <w:p w14:paraId="333029CC" w14:textId="5BB79593" w:rsidR="005E48BE" w:rsidRPr="004B2276" w:rsidRDefault="005E48BE" w:rsidP="008B2073">
      <w:pPr>
        <w:pStyle w:val="a3"/>
        <w:numPr>
          <w:ilvl w:val="0"/>
          <w:numId w:val="5"/>
        </w:numPr>
      </w:pPr>
      <w:r w:rsidRPr="004B2276">
        <w:t xml:space="preserve">Το </w:t>
      </w:r>
      <w:proofErr w:type="spellStart"/>
      <w:r w:rsidR="0043378D">
        <w:t>αρ</w:t>
      </w:r>
      <w:proofErr w:type="spellEnd"/>
      <w:r w:rsidR="0043378D">
        <w:t>.</w:t>
      </w:r>
      <w:r w:rsidRPr="004B2276">
        <w:t xml:space="preserve"> 119 του </w:t>
      </w:r>
      <w:r w:rsidR="000767D4">
        <w:t>Κ</w:t>
      </w:r>
      <w:r w:rsidRPr="004B2276">
        <w:t>ανονισμού</w:t>
      </w:r>
      <w:r w:rsidR="00E35540">
        <w:t xml:space="preserve"> </w:t>
      </w:r>
      <w:r w:rsidR="0043378D">
        <w:t xml:space="preserve">(ΕΕ) 2017/1485 </w:t>
      </w:r>
      <w:r w:rsidRPr="004B2276">
        <w:t xml:space="preserve">προβλέπει ότι, εντός 12 μηνών από την έναρξη ισχύος του ίδιου κανονισμού, οι ΔΣΜ κάθε </w:t>
      </w:r>
      <w:r w:rsidR="00590E50" w:rsidRPr="004B2276">
        <w:t>ενότητας ΕΦΣ</w:t>
      </w:r>
      <w:r w:rsidRPr="004B2276">
        <w:t>:</w:t>
      </w:r>
    </w:p>
    <w:p w14:paraId="59C04C87" w14:textId="77777777" w:rsidR="005E48BE" w:rsidRPr="004B2276" w:rsidRDefault="003C4EE1" w:rsidP="003C4EE1">
      <w:pPr>
        <w:pStyle w:val="a3"/>
        <w:numPr>
          <w:ilvl w:val="0"/>
          <w:numId w:val="1"/>
        </w:numPr>
      </w:pPr>
      <w:r w:rsidRPr="004B2276">
        <w:t>Αναπτύσσουν</w:t>
      </w:r>
      <w:r w:rsidR="005E48BE" w:rsidRPr="004B2276">
        <w:t xml:space="preserve"> από κοινού κοινές προτάσεις για τις μεθοδολογίες και τους όρους που αναφέρονται στο άρθρο 119, παρά</w:t>
      </w:r>
      <w:r w:rsidRPr="004B2276">
        <w:t xml:space="preserve">γραφος 1 </w:t>
      </w:r>
      <w:r w:rsidR="005E48BE" w:rsidRPr="004B2276">
        <w:t>α) έως (</w:t>
      </w:r>
      <w:proofErr w:type="spellStart"/>
      <w:r w:rsidR="005E48BE" w:rsidRPr="004B2276">
        <w:t>ι</w:t>
      </w:r>
      <w:r w:rsidR="002F3E4D" w:rsidRPr="004B2276">
        <w:t>η</w:t>
      </w:r>
      <w:proofErr w:type="spellEnd"/>
      <w:r w:rsidR="005E48BE" w:rsidRPr="004B2276">
        <w:t>) ·</w:t>
      </w:r>
    </w:p>
    <w:p w14:paraId="0201AF51" w14:textId="10738615" w:rsidR="008B2073" w:rsidRDefault="002F3E4D" w:rsidP="00C73210">
      <w:pPr>
        <w:pStyle w:val="a3"/>
        <w:numPr>
          <w:ilvl w:val="0"/>
          <w:numId w:val="1"/>
        </w:numPr>
      </w:pPr>
      <w:r w:rsidRPr="004B2276">
        <w:t>Υ</w:t>
      </w:r>
      <w:r w:rsidR="005E48BE" w:rsidRPr="004B2276">
        <w:t>ποβάλ</w:t>
      </w:r>
      <w:r w:rsidRPr="004B2276">
        <w:t>ουν</w:t>
      </w:r>
      <w:r w:rsidR="005E48BE" w:rsidRPr="004B2276">
        <w:t xml:space="preserve"> τις μεθοδολογίες και τους όρους που αναφέρονται στο </w:t>
      </w:r>
      <w:proofErr w:type="spellStart"/>
      <w:r w:rsidR="005E48BE" w:rsidRPr="004B2276">
        <w:t>άρ</w:t>
      </w:r>
      <w:proofErr w:type="spellEnd"/>
      <w:r w:rsidR="00840709">
        <w:t>. 119(</w:t>
      </w:r>
      <w:r w:rsidR="005E48BE" w:rsidRPr="004B2276">
        <w:t>1</w:t>
      </w:r>
      <w:r w:rsidR="00840709">
        <w:t>)</w:t>
      </w:r>
      <w:r w:rsidR="005E48BE" w:rsidRPr="004B2276">
        <w:t>(</w:t>
      </w:r>
      <w:r w:rsidR="00E52FFB" w:rsidRPr="004B2276">
        <w:t>α</w:t>
      </w:r>
      <w:r w:rsidR="005E48BE" w:rsidRPr="004B2276">
        <w:t>)</w:t>
      </w:r>
      <w:r w:rsidR="00E52FFB" w:rsidRPr="004B2276">
        <w:t xml:space="preserve"> έως</w:t>
      </w:r>
      <w:r w:rsidR="005E48BE" w:rsidRPr="004B2276">
        <w:t xml:space="preserve"> και (</w:t>
      </w:r>
      <w:proofErr w:type="spellStart"/>
      <w:r w:rsidR="005E48BE" w:rsidRPr="004B2276">
        <w:t>ι</w:t>
      </w:r>
      <w:r w:rsidR="0046681D" w:rsidRPr="004B2276">
        <w:t>η</w:t>
      </w:r>
      <w:proofErr w:type="spellEnd"/>
      <w:r w:rsidR="005E48BE" w:rsidRPr="004B2276">
        <w:t xml:space="preserve">) του </w:t>
      </w:r>
      <w:r w:rsidR="00E35540">
        <w:t>Κ</w:t>
      </w:r>
      <w:r w:rsidR="005E48BE" w:rsidRPr="004B2276">
        <w:t xml:space="preserve">ανονισμού </w:t>
      </w:r>
      <w:r w:rsidR="009B45B8" w:rsidRPr="004B2276">
        <w:t>στις ρυθμιστικές αρχές προς έγκριση</w:t>
      </w:r>
      <w:r w:rsidR="005E48BE" w:rsidRPr="004B2276">
        <w:t>.</w:t>
      </w:r>
    </w:p>
    <w:p w14:paraId="062DECB5" w14:textId="2070CDD8" w:rsidR="008B2073" w:rsidRPr="008B2073" w:rsidRDefault="008B2073" w:rsidP="00C73210">
      <w:r>
        <w:t>Υποβάλλει εισήγηση σχετική με τα αναφερόμενα</w:t>
      </w:r>
      <w:r w:rsidRPr="008B2073">
        <w:t xml:space="preserve"> στο </w:t>
      </w:r>
      <w:proofErr w:type="spellStart"/>
      <w:r w:rsidRPr="008B2073">
        <w:t>αρ</w:t>
      </w:r>
      <w:proofErr w:type="spellEnd"/>
      <w:r w:rsidRPr="008B2073">
        <w:t xml:space="preserve">. 6 παρ. 3 σημείο ε) και </w:t>
      </w:r>
      <w:proofErr w:type="spellStart"/>
      <w:r w:rsidRPr="008B2073">
        <w:t>στ</w:t>
      </w:r>
      <w:proofErr w:type="spellEnd"/>
      <w:r w:rsidRPr="008B2073">
        <w:t>), καθώς και της παρ. 4 σημ</w:t>
      </w:r>
      <w:r>
        <w:t>είου η) του εν λόγω Κανονισμού.</w:t>
      </w:r>
    </w:p>
    <w:p w14:paraId="1FB68751" w14:textId="15AF6E7A" w:rsidR="005E48BE" w:rsidRPr="004B2276" w:rsidRDefault="005E48BE" w:rsidP="00C73210">
      <w:r w:rsidRPr="004B2276">
        <w:t xml:space="preserve">Οι μεθοδολογίες και οι προϋποθέσεις που πρέπει να υποβληθούν για έγκριση από την Αρχή, σύμφωνα με το </w:t>
      </w:r>
      <w:proofErr w:type="spellStart"/>
      <w:r w:rsidRPr="004B2276">
        <w:t>άρ</w:t>
      </w:r>
      <w:proofErr w:type="spellEnd"/>
      <w:r w:rsidR="000767D4">
        <w:t>.</w:t>
      </w:r>
      <w:r w:rsidRPr="004B2276">
        <w:t xml:space="preserve"> 6 </w:t>
      </w:r>
      <w:r w:rsidR="000E1610" w:rsidRPr="004B2276">
        <w:t>(</w:t>
      </w:r>
      <w:r w:rsidRPr="004B2276">
        <w:t>3</w:t>
      </w:r>
      <w:r w:rsidR="000E1610" w:rsidRPr="004B2276">
        <w:t>)(</w:t>
      </w:r>
      <w:r w:rsidRPr="004B2276">
        <w:t>ε), περιλαμβάνονται στο μέρος Α του παρόντος εγγράφου και αφορούν, ιδίως:</w:t>
      </w:r>
    </w:p>
    <w:p w14:paraId="3871EE7E" w14:textId="6ABDA1CF" w:rsidR="005E48BE" w:rsidRPr="004B2276" w:rsidRDefault="005E48BE" w:rsidP="00940D15">
      <w:pPr>
        <w:ind w:left="720"/>
      </w:pPr>
      <w:r w:rsidRPr="004B2276">
        <w:t xml:space="preserve">i) </w:t>
      </w:r>
      <w:r w:rsidR="00B5297C" w:rsidRPr="004B2276">
        <w:t>Τον συντονισμό των ενεργειών</w:t>
      </w:r>
      <w:r w:rsidRPr="004B2276">
        <w:t xml:space="preserve"> που στοχεύουν στη μείωση του σφάλματος ελέγχου αποκατάστασης συχνότητας (</w:t>
      </w:r>
      <w:r w:rsidR="005411E3" w:rsidRPr="004B2276">
        <w:t>ΣΕΑΣ</w:t>
      </w:r>
      <w:r w:rsidRPr="004B2276">
        <w:t xml:space="preserve">), όπως ορίζεται στο </w:t>
      </w:r>
      <w:proofErr w:type="spellStart"/>
      <w:r w:rsidRPr="004B2276">
        <w:t>άρ</w:t>
      </w:r>
      <w:proofErr w:type="spellEnd"/>
      <w:r w:rsidR="00E35540">
        <w:t>. 152(</w:t>
      </w:r>
      <w:r w:rsidR="0020634E" w:rsidRPr="004B2276">
        <w:t>14</w:t>
      </w:r>
      <w:r w:rsidR="00E35540">
        <w:t>)</w:t>
      </w:r>
      <w:r w:rsidR="0020634E" w:rsidRPr="004B2276">
        <w:t xml:space="preserve"> του </w:t>
      </w:r>
      <w:r w:rsidR="00341C10">
        <w:t>Κ</w:t>
      </w:r>
      <w:r w:rsidR="0020634E" w:rsidRPr="004B2276">
        <w:t>ανονισμού.</w:t>
      </w:r>
    </w:p>
    <w:p w14:paraId="05D716DE" w14:textId="529BDA6A" w:rsidR="005E48BE" w:rsidRPr="004B2276" w:rsidRDefault="005E48BE" w:rsidP="00940D15">
      <w:pPr>
        <w:ind w:left="720"/>
      </w:pPr>
      <w:proofErr w:type="spellStart"/>
      <w:r w:rsidRPr="004B2276">
        <w:t>ii</w:t>
      </w:r>
      <w:proofErr w:type="spellEnd"/>
      <w:r w:rsidRPr="004B2276">
        <w:t xml:space="preserve">) </w:t>
      </w:r>
      <w:r w:rsidR="00E13BBA" w:rsidRPr="004B2276">
        <w:t xml:space="preserve">Τα </w:t>
      </w:r>
      <w:r w:rsidRPr="004B2276">
        <w:t xml:space="preserve">μέτρα για τη μείωση του </w:t>
      </w:r>
      <w:r w:rsidR="005411E3" w:rsidRPr="004B2276">
        <w:t>ΣΕΑΣ</w:t>
      </w:r>
      <w:r w:rsidRPr="004B2276">
        <w:t xml:space="preserve"> επιβάλλοντας αλλαγές στην παραγωγή ή κατανάλωση ενεργού ισχύος των </w:t>
      </w:r>
      <w:r w:rsidR="00BF284F" w:rsidRPr="004B2276">
        <w:t>μονάδων</w:t>
      </w:r>
      <w:r w:rsidRPr="004B2276">
        <w:t xml:space="preserve"> παραγωγής και των μονά</w:t>
      </w:r>
      <w:r w:rsidR="00341C10">
        <w:t xml:space="preserve">δων κατανάλωσης, σύμφωνα με το </w:t>
      </w:r>
      <w:proofErr w:type="spellStart"/>
      <w:r w:rsidR="00341C10">
        <w:t>α</w:t>
      </w:r>
      <w:r w:rsidRPr="004B2276">
        <w:t>ρ</w:t>
      </w:r>
      <w:proofErr w:type="spellEnd"/>
      <w:r w:rsidR="00341C10">
        <w:t>.</w:t>
      </w:r>
      <w:r w:rsidRPr="004B2276">
        <w:t xml:space="preserve"> 152</w:t>
      </w:r>
      <w:r w:rsidR="00341C10">
        <w:t>(</w:t>
      </w:r>
      <w:r w:rsidRPr="004B2276">
        <w:t>16</w:t>
      </w:r>
      <w:r w:rsidR="00341C10">
        <w:t>)</w:t>
      </w:r>
      <w:r w:rsidRPr="004B2276">
        <w:t xml:space="preserve"> του </w:t>
      </w:r>
      <w:r w:rsidR="00341C10">
        <w:t>Κανονισμού.</w:t>
      </w:r>
    </w:p>
    <w:p w14:paraId="2794F3E1" w14:textId="4832686A" w:rsidR="005E48BE" w:rsidRPr="004B2276" w:rsidRDefault="005E48BE" w:rsidP="00940D15">
      <w:pPr>
        <w:ind w:left="720"/>
      </w:pPr>
      <w:r w:rsidRPr="004B2276">
        <w:t>i</w:t>
      </w:r>
      <w:r w:rsidR="00C73210" w:rsidRPr="004B2276">
        <w:rPr>
          <w:lang w:val="en-US"/>
        </w:rPr>
        <w:t>ii</w:t>
      </w:r>
      <w:r w:rsidRPr="004B2276">
        <w:t xml:space="preserve">) </w:t>
      </w:r>
      <w:r w:rsidR="00647A28" w:rsidRPr="004B2276">
        <w:t>Τους κανόνες προσδιορισμού μεγέθους ΕΑΣ</w:t>
      </w:r>
      <w:r w:rsidRPr="004B2276">
        <w:t xml:space="preserve"> </w:t>
      </w:r>
      <w:r w:rsidR="00647A28" w:rsidRPr="004B2276">
        <w:t>σύμφωνα με το</w:t>
      </w:r>
      <w:r w:rsidRPr="004B2276">
        <w:t xml:space="preserve"> </w:t>
      </w:r>
      <w:proofErr w:type="spellStart"/>
      <w:r w:rsidR="00341C10">
        <w:t>αρ</w:t>
      </w:r>
      <w:proofErr w:type="spellEnd"/>
      <w:r w:rsidR="00341C10">
        <w:t>. 157(</w:t>
      </w:r>
      <w:r w:rsidRPr="004B2276">
        <w:t>1</w:t>
      </w:r>
      <w:r w:rsidR="00341C10">
        <w:t>)</w:t>
      </w:r>
      <w:r w:rsidRPr="004B2276">
        <w:t xml:space="preserve"> του </w:t>
      </w:r>
      <w:r w:rsidR="00341C10">
        <w:t>Κ</w:t>
      </w:r>
      <w:r w:rsidRPr="004B2276">
        <w:t>ανονισμού.</w:t>
      </w:r>
    </w:p>
    <w:p w14:paraId="185CBF2E" w14:textId="780DAFE3" w:rsidR="005E48BE" w:rsidRPr="004B2276" w:rsidRDefault="00341C10" w:rsidP="005E48BE">
      <w:r>
        <w:t>Ο</w:t>
      </w:r>
      <w:r w:rsidR="005E48BE" w:rsidRPr="004B2276">
        <w:t>ι</w:t>
      </w:r>
      <w:r>
        <w:t xml:space="preserve"> συγκεκριμένες</w:t>
      </w:r>
      <w:r w:rsidR="005E48BE" w:rsidRPr="004B2276">
        <w:t xml:space="preserve"> μεθοδολογίες έχουν επίσης υποβληθεί σε δημόσια διαβούλευση σύμφωνα με το </w:t>
      </w:r>
      <w:proofErr w:type="spellStart"/>
      <w:r>
        <w:t>αρ</w:t>
      </w:r>
      <w:proofErr w:type="spellEnd"/>
      <w:r>
        <w:t>. 11(</w:t>
      </w:r>
      <w:r w:rsidR="005E48BE" w:rsidRPr="004B2276">
        <w:t>1</w:t>
      </w:r>
      <w:r>
        <w:t>)</w:t>
      </w:r>
      <w:r w:rsidR="005E48BE" w:rsidRPr="004B2276">
        <w:t xml:space="preserve"> του </w:t>
      </w:r>
      <w:r>
        <w:t>Κ</w:t>
      </w:r>
      <w:r w:rsidR="005E48BE" w:rsidRPr="004B2276">
        <w:t>ανονισμού.</w:t>
      </w:r>
    </w:p>
    <w:p w14:paraId="41A345A3" w14:textId="4FB87ECC" w:rsidR="00917FF7" w:rsidRPr="004B2276" w:rsidRDefault="00917FF7">
      <w:r w:rsidRPr="004B2276">
        <w:t>Ο</w:t>
      </w:r>
      <w:r w:rsidR="005E48BE" w:rsidRPr="004B2276">
        <w:t>ι</w:t>
      </w:r>
      <w:r w:rsidR="00341C10">
        <w:t xml:space="preserve"> υπόλοιπες παράγραφοι του </w:t>
      </w:r>
      <w:proofErr w:type="spellStart"/>
      <w:r w:rsidR="00341C10">
        <w:t>αρ</w:t>
      </w:r>
      <w:proofErr w:type="spellEnd"/>
      <w:r w:rsidR="00341C10">
        <w:t>. 119(</w:t>
      </w:r>
      <w:r w:rsidR="005E48BE" w:rsidRPr="004B2276">
        <w:t>1</w:t>
      </w:r>
      <w:r w:rsidR="00341C10">
        <w:t>)</w:t>
      </w:r>
      <w:r w:rsidR="005E48BE" w:rsidRPr="004B2276">
        <w:t xml:space="preserve"> του </w:t>
      </w:r>
      <w:r w:rsidR="00341C10">
        <w:t>Κ</w:t>
      </w:r>
      <w:r w:rsidR="005E48BE" w:rsidRPr="004B2276">
        <w:t>ανονισμού ταξινομούνται στο μέρος Β του παρόντος εγγράφου.</w:t>
      </w:r>
      <w:r w:rsidRPr="004B2276">
        <w:br w:type="page"/>
      </w:r>
    </w:p>
    <w:p w14:paraId="038D6CB0" w14:textId="77777777" w:rsidR="008179D1" w:rsidRPr="004B2276" w:rsidRDefault="008179D1" w:rsidP="000D3202">
      <w:pPr>
        <w:pStyle w:val="2"/>
      </w:pPr>
      <w:bookmarkStart w:id="5" w:name="_Toc51142262"/>
      <w:r w:rsidRPr="004B2276">
        <w:lastRenderedPageBreak/>
        <w:t>Άρθρο 1</w:t>
      </w:r>
      <w:bookmarkEnd w:id="5"/>
    </w:p>
    <w:p w14:paraId="638F4419" w14:textId="17FCAD78" w:rsidR="004E6E71" w:rsidRPr="004B2276" w:rsidRDefault="008179D1" w:rsidP="00FE6776">
      <w:pPr>
        <w:pStyle w:val="a3"/>
        <w:numPr>
          <w:ilvl w:val="1"/>
          <w:numId w:val="2"/>
        </w:numPr>
      </w:pPr>
      <w:r w:rsidRPr="004B2276">
        <w:t xml:space="preserve">Το αντικείμενο </w:t>
      </w:r>
      <w:r w:rsidR="00736E2B">
        <w:t>του παρόντος</w:t>
      </w:r>
      <w:r w:rsidRPr="004B2276">
        <w:t xml:space="preserve"> </w:t>
      </w:r>
      <w:r w:rsidR="00736E2B">
        <w:t>αφορά στις</w:t>
      </w:r>
      <w:r w:rsidRPr="004B2276">
        <w:t xml:space="preserve"> μεθοδολογίες και προϋποθέσεις που </w:t>
      </w:r>
      <w:r w:rsidR="00736E2B">
        <w:t>οφείλουν</w:t>
      </w:r>
      <w:r w:rsidRPr="004B2276">
        <w:t xml:space="preserve"> να αναπτυχθούν σύμφωνα με το </w:t>
      </w:r>
      <w:r w:rsidR="00736E2B">
        <w:t>αρ.</w:t>
      </w:r>
      <w:r w:rsidRPr="004B2276">
        <w:t xml:space="preserve">119 </w:t>
      </w:r>
      <w:r w:rsidR="00C93066" w:rsidRPr="004B2276">
        <w:t>(</w:t>
      </w:r>
      <w:r w:rsidRPr="004B2276">
        <w:t>1</w:t>
      </w:r>
      <w:r w:rsidR="00C93066" w:rsidRPr="004B2276">
        <w:t>)</w:t>
      </w:r>
      <w:r w:rsidRPr="004B2276">
        <w:t xml:space="preserve"> του </w:t>
      </w:r>
      <w:r w:rsidR="00736E2B">
        <w:t>Κανονισμού</w:t>
      </w:r>
      <w:r w:rsidRPr="004B2276">
        <w:t xml:space="preserve">, ο οποίος καθορίζει κατευθυντήριες γραμμές για τη διαχείριση του </w:t>
      </w:r>
      <w:r w:rsidR="001C0116" w:rsidRPr="004B2276">
        <w:t>Σ</w:t>
      </w:r>
      <w:r w:rsidRPr="004B2276">
        <w:t xml:space="preserve">υστήματος μεταφοράς ηλεκτρικής ενέργειας . Τα άρθρα χωρίζονται σε μέρος Α, όπου υπόκεινται στις υποχρεώσεις έγκρισης, σύμφωνα με το </w:t>
      </w:r>
      <w:r w:rsidR="006F58A6">
        <w:t>αρ.</w:t>
      </w:r>
      <w:r w:rsidRPr="004B2276">
        <w:t xml:space="preserve">6 </w:t>
      </w:r>
      <w:r w:rsidR="00C93066" w:rsidRPr="004B2276">
        <w:t>(</w:t>
      </w:r>
      <w:r w:rsidRPr="004B2276">
        <w:t>3</w:t>
      </w:r>
      <w:r w:rsidR="00C93066" w:rsidRPr="004B2276">
        <w:t>)(</w:t>
      </w:r>
      <w:r w:rsidRPr="004B2276">
        <w:t xml:space="preserve">ε) του </w:t>
      </w:r>
      <w:r w:rsidR="006F58A6">
        <w:t>Κ</w:t>
      </w:r>
      <w:r w:rsidRPr="004B2276">
        <w:t>ανονισμού, και μ</w:t>
      </w:r>
      <w:r w:rsidR="006F58A6">
        <w:t>έρος Β, εάν αυτή η απαίτηση δεν είναι απαραίτητο να ικανοποιηθεί</w:t>
      </w:r>
      <w:r w:rsidRPr="004B2276">
        <w:t xml:space="preserve">. </w:t>
      </w:r>
      <w:r w:rsidR="006F58A6">
        <w:t>Για αμφότερα τα</w:t>
      </w:r>
      <w:r w:rsidRPr="004B2276">
        <w:t xml:space="preserve"> μέρη Α και Β</w:t>
      </w:r>
      <w:r w:rsidR="006F58A6">
        <w:t xml:space="preserve"> του παρόντος</w:t>
      </w:r>
      <w:r w:rsidRPr="004B2276">
        <w:t>, ισχύουν οι Όροι και Προ</w:t>
      </w:r>
      <w:r w:rsidR="00917FF7" w:rsidRPr="004B2276">
        <w:t xml:space="preserve">ϋποθέσεις των </w:t>
      </w:r>
      <w:proofErr w:type="spellStart"/>
      <w:r w:rsidR="006F58A6">
        <w:t>αρ</w:t>
      </w:r>
      <w:proofErr w:type="spellEnd"/>
      <w:r w:rsidR="006F58A6">
        <w:t>.</w:t>
      </w:r>
      <w:r w:rsidR="00917FF7" w:rsidRPr="004B2276">
        <w:t xml:space="preserve"> 20 και 21.</w:t>
      </w:r>
    </w:p>
    <w:p w14:paraId="3DE685E1" w14:textId="66765325" w:rsidR="005D685E" w:rsidRPr="004B2276" w:rsidRDefault="000D3202" w:rsidP="00CF0D69">
      <w:pPr>
        <w:pStyle w:val="1"/>
        <w:jc w:val="center"/>
      </w:pPr>
      <w:bookmarkStart w:id="6" w:name="_Toc51142263"/>
      <w:r w:rsidRPr="004B2276">
        <w:t>Μέρος Α</w:t>
      </w:r>
      <w:bookmarkEnd w:id="6"/>
    </w:p>
    <w:p w14:paraId="208C7628" w14:textId="3CEAC8BC" w:rsidR="00A42BB0" w:rsidRPr="004B2276" w:rsidRDefault="00A42BB0" w:rsidP="00A42BB0">
      <w:pPr>
        <w:pStyle w:val="2"/>
      </w:pPr>
      <w:bookmarkStart w:id="7" w:name="_Toc51142264"/>
      <w:r w:rsidRPr="004B2276">
        <w:t xml:space="preserve">Άρθρο </w:t>
      </w:r>
      <w:r w:rsidR="00E146EB">
        <w:t>2</w:t>
      </w:r>
      <w:r w:rsidRPr="004B2276">
        <w:t xml:space="preserve"> (</w:t>
      </w:r>
      <w:r w:rsidR="00C03169">
        <w:t>6</w:t>
      </w:r>
      <w:r w:rsidR="00870907" w:rsidRPr="00A775CD">
        <w:t>(3)</w:t>
      </w:r>
      <w:r w:rsidR="00C03169">
        <w:t>(ε)(</w:t>
      </w:r>
      <w:proofErr w:type="spellStart"/>
      <w:r w:rsidR="00C03169">
        <w:rPr>
          <w:lang w:val="en-US"/>
        </w:rPr>
        <w:t>i</w:t>
      </w:r>
      <w:proofErr w:type="spellEnd"/>
      <w:r w:rsidR="00C03169" w:rsidRPr="00A775CD">
        <w:t xml:space="preserve">) </w:t>
      </w:r>
      <w:r w:rsidRPr="004B2276">
        <w:t xml:space="preserve">αναφ. </w:t>
      </w:r>
      <w:r w:rsidR="00567250" w:rsidRPr="004B2276">
        <w:t>137</w:t>
      </w:r>
      <w:r w:rsidRPr="004B2276">
        <w:t xml:space="preserve"> (</w:t>
      </w:r>
      <w:r w:rsidR="00567250" w:rsidRPr="004B2276">
        <w:t>3</w:t>
      </w:r>
      <w:r w:rsidRPr="004B2276">
        <w:t>)</w:t>
      </w:r>
      <w:r w:rsidR="00567250" w:rsidRPr="004B2276">
        <w:t>,(4)</w:t>
      </w:r>
      <w:r w:rsidRPr="004B2276">
        <w:t>)</w:t>
      </w:r>
      <w:bookmarkEnd w:id="7"/>
    </w:p>
    <w:p w14:paraId="479DA5E3" w14:textId="1452BEC4" w:rsidR="00A42BB0" w:rsidRPr="004B2276" w:rsidRDefault="00A42BB0" w:rsidP="00F708B1">
      <w:r w:rsidRPr="004B2276">
        <w:t xml:space="preserve">Όρια ρυθμού ανάληψης/μείωσης παραγωγής ενεργού ισχύος σύμφωνα με το άρθρο 137 παράγραφοι 3 και 4 του </w:t>
      </w:r>
      <w:r w:rsidR="0009424C">
        <w:t>Κανονισμού</w:t>
      </w:r>
      <w:r w:rsidRPr="004B2276">
        <w:t xml:space="preserve"> </w:t>
      </w:r>
    </w:p>
    <w:p w14:paraId="05F1C8A4" w14:textId="77777777" w:rsidR="00A42BB0" w:rsidRPr="004B2276" w:rsidRDefault="00A42BB0" w:rsidP="00A42BB0">
      <w:pPr>
        <w:pStyle w:val="a3"/>
        <w:numPr>
          <w:ilvl w:val="0"/>
          <w:numId w:val="2"/>
        </w:numPr>
        <w:rPr>
          <w:vanish/>
        </w:rPr>
      </w:pPr>
    </w:p>
    <w:p w14:paraId="793A74C7" w14:textId="0C00C92A" w:rsidR="001D1788" w:rsidRPr="004B2276" w:rsidRDefault="0009424C" w:rsidP="00CF0D69">
      <w:pPr>
        <w:pStyle w:val="a3"/>
        <w:numPr>
          <w:ilvl w:val="1"/>
          <w:numId w:val="2"/>
        </w:numPr>
      </w:pPr>
      <w:r>
        <w:t>Σχετικά με</w:t>
      </w:r>
      <w:r w:rsidR="00A42BB0" w:rsidRPr="004B2276">
        <w:t xml:space="preserve"> τις διατάξεις </w:t>
      </w:r>
      <w:r>
        <w:t>επί των ορίων</w:t>
      </w:r>
      <w:r w:rsidR="00A42BB0" w:rsidRPr="004B2276">
        <w:t xml:space="preserve"> ρυθμού ανάληψης/μείωσης παραγωγής ενεργού ισχύο</w:t>
      </w:r>
      <w:r w:rsidR="00567250" w:rsidRPr="004B2276">
        <w:t xml:space="preserve">ς </w:t>
      </w:r>
      <w:r>
        <w:t>όπως</w:t>
      </w:r>
      <w:r w:rsidR="00567250" w:rsidRPr="004B2276">
        <w:t xml:space="preserve"> αναφέρονται στο </w:t>
      </w:r>
      <w:proofErr w:type="spellStart"/>
      <w:r>
        <w:t>αρ</w:t>
      </w:r>
      <w:proofErr w:type="spellEnd"/>
      <w:r>
        <w:t xml:space="preserve">. </w:t>
      </w:r>
      <w:r w:rsidR="00567250" w:rsidRPr="004B2276">
        <w:t>137</w:t>
      </w:r>
      <w:r w:rsidR="00A42BB0" w:rsidRPr="004B2276">
        <w:t xml:space="preserve"> </w:t>
      </w:r>
      <w:r w:rsidR="00567250" w:rsidRPr="004B2276">
        <w:t>(3),(</w:t>
      </w:r>
      <w:r w:rsidR="00A42BB0" w:rsidRPr="004B2276">
        <w:t>4</w:t>
      </w:r>
      <w:r w:rsidR="00567250" w:rsidRPr="004B2276">
        <w:t>)</w:t>
      </w:r>
      <w:r w:rsidR="00A42BB0" w:rsidRPr="004B2276">
        <w:t xml:space="preserve"> του </w:t>
      </w:r>
      <w:r>
        <w:t>Κανονισμού</w:t>
      </w:r>
      <w:r w:rsidR="00A42BB0" w:rsidRPr="004B2276">
        <w:t>, για κάθε μονάδα παραγωγής που έχει άδεια να παρέχει υπηρεσίες εξισορρόπησης</w:t>
      </w:r>
      <w:r>
        <w:t xml:space="preserve"> (Οντότητα Υπηρεσιών Εξισορρόπησης)</w:t>
      </w:r>
      <w:r w:rsidR="00A42BB0" w:rsidRPr="004B2276">
        <w:t xml:space="preserve">, οι ζητούμενοι ρυθμοί ανάληψης/μείωσης ενεργού παραγωγής είναι συμβατοί με τα στοιχεία των μονάδων παραγωγής, όπως αυτά έχουν δηλωθεί στο μητρώο </w:t>
      </w:r>
      <w:proofErr w:type="spellStart"/>
      <w:r w:rsidR="00A42BB0" w:rsidRPr="004B2276">
        <w:t>παρόχων</w:t>
      </w:r>
      <w:proofErr w:type="spellEnd"/>
      <w:r w:rsidR="00A42BB0" w:rsidRPr="004B2276">
        <w:t xml:space="preserve"> υπηρεσιών εξισορρόπησης, ενώ οι σχετικές καταγραφές αφορούν την περίοδο του έτους 2019.</w:t>
      </w:r>
    </w:p>
    <w:p w14:paraId="7DBD5DAF" w14:textId="730FD88C" w:rsidR="00326C11" w:rsidRPr="00B8773F" w:rsidRDefault="00326C11" w:rsidP="00326C11">
      <w:pPr>
        <w:pStyle w:val="2"/>
      </w:pPr>
      <w:bookmarkStart w:id="8" w:name="_Toc51142265"/>
      <w:r w:rsidRPr="00B8773F">
        <w:t xml:space="preserve">Άρθρο </w:t>
      </w:r>
      <w:r w:rsidR="00E146EB">
        <w:t>3</w:t>
      </w:r>
      <w:r w:rsidRPr="00B8773F">
        <w:t xml:space="preserve"> (119 (1) (</w:t>
      </w:r>
      <w:proofErr w:type="spellStart"/>
      <w:r w:rsidRPr="00B8773F">
        <w:t>ι</w:t>
      </w:r>
      <w:r w:rsidR="00D248DC">
        <w:t>ζ</w:t>
      </w:r>
      <w:proofErr w:type="spellEnd"/>
      <w:r w:rsidRPr="00B8773F">
        <w:t>))</w:t>
      </w:r>
      <w:bookmarkEnd w:id="8"/>
    </w:p>
    <w:p w14:paraId="529EE0EA" w14:textId="59AE46B1" w:rsidR="009A0F8C" w:rsidRPr="00E146EB" w:rsidRDefault="00326C11" w:rsidP="00E146EB">
      <w:r w:rsidRPr="00B8773F">
        <w:t xml:space="preserve">Δράσεις συντονισμού με στόχο τη μείωση του </w:t>
      </w:r>
      <w:r w:rsidR="0008697D" w:rsidRPr="00B8773F">
        <w:t>ΣΕΑΣ</w:t>
      </w:r>
      <w:r w:rsidRPr="00B8773F">
        <w:t xml:space="preserve"> όπως ορίζεται στο </w:t>
      </w:r>
      <w:proofErr w:type="spellStart"/>
      <w:r w:rsidR="00D248DC">
        <w:t>αρ</w:t>
      </w:r>
      <w:proofErr w:type="spellEnd"/>
      <w:r w:rsidR="00D248DC">
        <w:t>.</w:t>
      </w:r>
      <w:r w:rsidRPr="00B8773F">
        <w:t xml:space="preserve"> 152 (14) του SO GL</w:t>
      </w:r>
    </w:p>
    <w:p w14:paraId="0B7B823C" w14:textId="77777777" w:rsidR="00AA1A55" w:rsidRPr="004B2276" w:rsidRDefault="00AA1A55" w:rsidP="00AA1A55">
      <w:pPr>
        <w:pStyle w:val="a3"/>
        <w:numPr>
          <w:ilvl w:val="0"/>
          <w:numId w:val="2"/>
        </w:numPr>
        <w:rPr>
          <w:vanish/>
          <w:highlight w:val="green"/>
        </w:rPr>
      </w:pPr>
    </w:p>
    <w:p w14:paraId="34275D21" w14:textId="0DCC744C" w:rsidR="009968A2" w:rsidRPr="00D248DC" w:rsidRDefault="002C4A75" w:rsidP="00AE6983">
      <w:pPr>
        <w:pStyle w:val="a3"/>
        <w:numPr>
          <w:ilvl w:val="1"/>
          <w:numId w:val="2"/>
        </w:numPr>
      </w:pPr>
      <w:r w:rsidRPr="00D248DC">
        <w:t>Η</w:t>
      </w:r>
      <w:r w:rsidR="00AA1A55" w:rsidRPr="00D248DC">
        <w:t xml:space="preserve"> περιοχή </w:t>
      </w:r>
      <w:r w:rsidRPr="00D248DC">
        <w:t>ελέγχου</w:t>
      </w:r>
      <w:r w:rsidR="00AA1A55" w:rsidRPr="00D248DC">
        <w:t xml:space="preserve"> ευθύνης </w:t>
      </w:r>
      <w:r w:rsidRPr="00D248DC">
        <w:t xml:space="preserve">του </w:t>
      </w:r>
      <w:r w:rsidR="00D248DC">
        <w:t>ΔΣΜ</w:t>
      </w:r>
      <w:r w:rsidR="00AA1A55" w:rsidRPr="00D248DC">
        <w:t xml:space="preserve"> αντιστοιχεί σε ολόκληρη την</w:t>
      </w:r>
      <w:r w:rsidR="006B7567" w:rsidRPr="00D248DC">
        <w:t xml:space="preserve"> ενότητα</w:t>
      </w:r>
      <w:r w:rsidR="00AA1A55" w:rsidRPr="00D248DC">
        <w:t xml:space="preserve"> ΕΦΣ. Η απαίτηση του άρθρου 152 (14) του SO GL δεν έχει εφαρμογή.</w:t>
      </w:r>
    </w:p>
    <w:p w14:paraId="7E4431B5" w14:textId="226FFB38" w:rsidR="009A6C1E" w:rsidRPr="00D248DC" w:rsidRDefault="009A6C1E" w:rsidP="009A6C1E">
      <w:pPr>
        <w:pStyle w:val="2"/>
      </w:pPr>
      <w:bookmarkStart w:id="9" w:name="_Toc51142266"/>
      <w:r w:rsidRPr="00D248DC">
        <w:t xml:space="preserve">Άρθρο </w:t>
      </w:r>
      <w:r w:rsidR="00E146EB">
        <w:t>4</w:t>
      </w:r>
      <w:r w:rsidRPr="00D248DC">
        <w:t xml:space="preserve"> (119 (1) (</w:t>
      </w:r>
      <w:proofErr w:type="spellStart"/>
      <w:r w:rsidRPr="00D248DC">
        <w:t>ι</w:t>
      </w:r>
      <w:r w:rsidR="00D248DC" w:rsidRPr="00D248DC">
        <w:t>η</w:t>
      </w:r>
      <w:proofErr w:type="spellEnd"/>
      <w:r w:rsidRPr="00D248DC">
        <w:t>))</w:t>
      </w:r>
      <w:bookmarkEnd w:id="9"/>
    </w:p>
    <w:p w14:paraId="1933DC1A" w14:textId="6E7A112B" w:rsidR="009A6C1E" w:rsidRPr="00D248DC" w:rsidRDefault="009A6C1E" w:rsidP="00F708B1">
      <w:r w:rsidRPr="00D248DC">
        <w:t>Μέτρ</w:t>
      </w:r>
      <w:r w:rsidR="00EA52FB" w:rsidRPr="00D248DC">
        <w:t xml:space="preserve">α που αποσκοπούν στη μείωση ΣΕΑΣ </w:t>
      </w:r>
      <w:r w:rsidRPr="00D248DC">
        <w:t xml:space="preserve">επιβάλλοντας αλλαγές στην παραγωγή </w:t>
      </w:r>
      <w:r w:rsidR="00EA52FB" w:rsidRPr="00D248DC">
        <w:t>ή</w:t>
      </w:r>
      <w:r w:rsidRPr="00D248DC">
        <w:t xml:space="preserve"> στην ενεργή κατανάλωση ισχύος των ομάδων παραγωγής και των μονάδων κατανάλωσης σύμφωνα με το </w:t>
      </w:r>
      <w:proofErr w:type="spellStart"/>
      <w:r w:rsidR="00D248DC">
        <w:t>αρ</w:t>
      </w:r>
      <w:proofErr w:type="spellEnd"/>
      <w:r w:rsidR="00D248DC">
        <w:t>.</w:t>
      </w:r>
      <w:r w:rsidRPr="00D248DC">
        <w:t xml:space="preserve"> 152 (16) του SO GL</w:t>
      </w:r>
    </w:p>
    <w:p w14:paraId="3B09C2BE" w14:textId="77777777" w:rsidR="009A6C1E" w:rsidRPr="00D248DC" w:rsidRDefault="009A6C1E" w:rsidP="009A6C1E">
      <w:pPr>
        <w:pStyle w:val="a3"/>
        <w:numPr>
          <w:ilvl w:val="0"/>
          <w:numId w:val="2"/>
        </w:numPr>
        <w:rPr>
          <w:vanish/>
        </w:rPr>
      </w:pPr>
    </w:p>
    <w:p w14:paraId="53D06F21" w14:textId="316F8BE7" w:rsidR="009A6C1E" w:rsidRPr="00D248DC" w:rsidRDefault="00A12D80" w:rsidP="00AE6983">
      <w:pPr>
        <w:pStyle w:val="a3"/>
        <w:numPr>
          <w:ilvl w:val="1"/>
          <w:numId w:val="2"/>
        </w:numPr>
      </w:pPr>
      <w:r w:rsidRPr="00D248DC">
        <w:t>Σε περίπτωση κορεσμού της ΕΑΣ ο ΔΣΜ επαναπροσδιορίζει την ποσότητα εφεδρείας που απαιτείται για την ασφάλεια του Συστήματος και με βάση τον νέο προσδιορισμό επιλύει το υπόλοιπο της ημέρας κατανομής με τις νέες απαιτήσεις εφεδρειών.</w:t>
      </w:r>
    </w:p>
    <w:p w14:paraId="580FF52D" w14:textId="615F1BC6" w:rsidR="00B35478" w:rsidRPr="004B2276" w:rsidRDefault="00B35478" w:rsidP="00B35478">
      <w:pPr>
        <w:pStyle w:val="1"/>
        <w:jc w:val="center"/>
      </w:pPr>
      <w:bookmarkStart w:id="10" w:name="_Toc51142267"/>
      <w:r w:rsidRPr="004B2276">
        <w:t>Μέρος Β</w:t>
      </w:r>
      <w:bookmarkEnd w:id="10"/>
    </w:p>
    <w:p w14:paraId="773DAADE" w14:textId="13575FF7" w:rsidR="00B35478" w:rsidRPr="004B2276" w:rsidRDefault="00B35478" w:rsidP="00B35478">
      <w:pPr>
        <w:pStyle w:val="2"/>
      </w:pPr>
      <w:bookmarkStart w:id="11" w:name="_Toc51142268"/>
      <w:r w:rsidRPr="004B2276">
        <w:t xml:space="preserve">Άρθρο </w:t>
      </w:r>
      <w:r w:rsidR="00E146EB">
        <w:t>5</w:t>
      </w:r>
      <w:r w:rsidRPr="004B2276">
        <w:t xml:space="preserve"> (</w:t>
      </w:r>
      <w:proofErr w:type="spellStart"/>
      <w:r w:rsidRPr="004B2276">
        <w:t>αρ</w:t>
      </w:r>
      <w:proofErr w:type="spellEnd"/>
      <w:r w:rsidRPr="004B2276">
        <w:t>. 119 (1) (α))</w:t>
      </w:r>
      <w:bookmarkEnd w:id="11"/>
    </w:p>
    <w:p w14:paraId="61D69628" w14:textId="7F5D47DB" w:rsidR="00B35478" w:rsidRPr="004B2276" w:rsidRDefault="00B35478" w:rsidP="00F708B1">
      <w:r w:rsidRPr="004B2276">
        <w:t xml:space="preserve">Παράμετροι στόχου ΣΕΑΣ για κάθε ΕΦΣ, που ορίζονται σύμφωνα με το </w:t>
      </w:r>
      <w:proofErr w:type="spellStart"/>
      <w:r w:rsidR="003658D9">
        <w:t>αρ</w:t>
      </w:r>
      <w:proofErr w:type="spellEnd"/>
      <w:r w:rsidR="003658D9">
        <w:t>.</w:t>
      </w:r>
      <w:r w:rsidRPr="004B2276">
        <w:t xml:space="preserve"> 128 (4), εάν η περιοχή ΕΦΣ αποτελείται από μία ή περισσότερες περιοχές ΕΦΣ</w:t>
      </w:r>
    </w:p>
    <w:p w14:paraId="0E51ED4F" w14:textId="77777777" w:rsidR="00B35478" w:rsidRPr="004B2276" w:rsidRDefault="00B35478" w:rsidP="00B35478">
      <w:pPr>
        <w:pStyle w:val="a3"/>
        <w:numPr>
          <w:ilvl w:val="0"/>
          <w:numId w:val="2"/>
        </w:numPr>
        <w:rPr>
          <w:vanish/>
        </w:rPr>
      </w:pPr>
    </w:p>
    <w:p w14:paraId="62E22A9D" w14:textId="05FCD9F4" w:rsidR="00B35478" w:rsidRPr="004B2276" w:rsidRDefault="001256BF" w:rsidP="00AE6983">
      <w:pPr>
        <w:pStyle w:val="a3"/>
        <w:numPr>
          <w:ilvl w:val="1"/>
          <w:numId w:val="2"/>
        </w:numPr>
      </w:pPr>
      <w:r w:rsidRPr="004B2276">
        <w:t>Η</w:t>
      </w:r>
      <w:r w:rsidR="00B35478" w:rsidRPr="004B2276">
        <w:t xml:space="preserve"> περιοχή </w:t>
      </w:r>
      <w:r w:rsidRPr="004B2276">
        <w:t>ελέγχου</w:t>
      </w:r>
      <w:r w:rsidR="00B35478" w:rsidRPr="004B2276">
        <w:t xml:space="preserve"> ευθύνης του </w:t>
      </w:r>
      <w:r w:rsidR="003658D9">
        <w:t>ΔΣΜ</w:t>
      </w:r>
      <w:r w:rsidR="00B35478" w:rsidRPr="004B2276">
        <w:t xml:space="preserve"> αντιστοιχεί σε </w:t>
      </w:r>
      <w:r w:rsidRPr="004B2276">
        <w:t>ολόκληρη την</w:t>
      </w:r>
      <w:r w:rsidR="00B35478" w:rsidRPr="004B2276">
        <w:t xml:space="preserve"> ΕΦΣ. </w:t>
      </w:r>
      <w:proofErr w:type="spellStart"/>
      <w:r w:rsidR="00B35478" w:rsidRPr="004B2276">
        <w:t>Κατ’επέκταση</w:t>
      </w:r>
      <w:proofErr w:type="spellEnd"/>
      <w:r w:rsidR="00B35478" w:rsidRPr="004B2276">
        <w:t xml:space="preserve">, η απαίτηση του </w:t>
      </w:r>
      <w:proofErr w:type="spellStart"/>
      <w:r w:rsidR="003658D9">
        <w:t>αρ</w:t>
      </w:r>
      <w:proofErr w:type="spellEnd"/>
      <w:r w:rsidR="003658D9">
        <w:t>.</w:t>
      </w:r>
      <w:r w:rsidR="00B35478" w:rsidRPr="004B2276">
        <w:t xml:space="preserve"> 119 (1) (α) του </w:t>
      </w:r>
      <w:r w:rsidR="003658D9">
        <w:t>Κανονισμού</w:t>
      </w:r>
      <w:r w:rsidR="00B35478" w:rsidRPr="004B2276">
        <w:t xml:space="preserve"> δεν έχει εφαρμογή.</w:t>
      </w:r>
    </w:p>
    <w:p w14:paraId="7F759548" w14:textId="71C5557F" w:rsidR="00962DA1" w:rsidRPr="004B2276" w:rsidRDefault="00962DA1" w:rsidP="00962DA1">
      <w:pPr>
        <w:pStyle w:val="2"/>
      </w:pPr>
      <w:bookmarkStart w:id="12" w:name="_Toc51142269"/>
      <w:r w:rsidRPr="004B2276">
        <w:t xml:space="preserve">Άρθρο </w:t>
      </w:r>
      <w:r w:rsidR="00E146EB">
        <w:t>6</w:t>
      </w:r>
      <w:r w:rsidRPr="004B2276">
        <w:t xml:space="preserve"> (119 (1) (</w:t>
      </w:r>
      <w:r w:rsidR="00CF0D69">
        <w:t>β</w:t>
      </w:r>
      <w:r w:rsidRPr="004B2276">
        <w:t>))</w:t>
      </w:r>
      <w:bookmarkEnd w:id="12"/>
    </w:p>
    <w:p w14:paraId="687F1CB3" w14:textId="75F2E5FB" w:rsidR="00962DA1" w:rsidRPr="004B2276" w:rsidRDefault="00962DA1" w:rsidP="00F708B1">
      <w:r w:rsidRPr="004B2276">
        <w:t>Υπεύθυνος για την παρακολούθηση ΕΦΣ, σύμφωνα με το άρθρο 134 παράγραφος 1</w:t>
      </w:r>
    </w:p>
    <w:p w14:paraId="4E0CB5E2" w14:textId="77777777" w:rsidR="00962DA1" w:rsidRPr="004B2276" w:rsidRDefault="00962DA1" w:rsidP="00962DA1">
      <w:pPr>
        <w:pStyle w:val="a3"/>
        <w:numPr>
          <w:ilvl w:val="0"/>
          <w:numId w:val="2"/>
        </w:numPr>
        <w:rPr>
          <w:vanish/>
        </w:rPr>
      </w:pPr>
    </w:p>
    <w:p w14:paraId="41D8921D" w14:textId="541E7E37" w:rsidR="00B35478" w:rsidRPr="004B2276" w:rsidRDefault="001256BF" w:rsidP="00AE6983">
      <w:pPr>
        <w:pStyle w:val="a3"/>
        <w:numPr>
          <w:ilvl w:val="1"/>
          <w:numId w:val="2"/>
        </w:numPr>
      </w:pPr>
      <w:r w:rsidRPr="004B2276">
        <w:t>Η</w:t>
      </w:r>
      <w:r w:rsidR="00962DA1" w:rsidRPr="004B2276">
        <w:t xml:space="preserve"> περιοχή ελέγχου ευθύνης του ΑΔΜΗΕ αντιστοιχεί </w:t>
      </w:r>
      <w:r w:rsidR="0096710E" w:rsidRPr="004B2276">
        <w:t>σε ολόκληρη την περιοχή</w:t>
      </w:r>
      <w:r w:rsidR="00962DA1" w:rsidRPr="004B2276">
        <w:t xml:space="preserve"> ΕΦΣ. Η απαίτηση του </w:t>
      </w:r>
      <w:proofErr w:type="spellStart"/>
      <w:r w:rsidR="00097A11">
        <w:t>αρ</w:t>
      </w:r>
      <w:proofErr w:type="spellEnd"/>
      <w:r w:rsidR="00097A11">
        <w:t>.</w:t>
      </w:r>
      <w:r w:rsidR="00962DA1" w:rsidRPr="004B2276">
        <w:t xml:space="preserve"> 119 (1) (β) του </w:t>
      </w:r>
      <w:r w:rsidR="00097A11">
        <w:t>Κανονισμού</w:t>
      </w:r>
      <w:r w:rsidR="00962DA1" w:rsidRPr="004B2276">
        <w:t xml:space="preserve"> δεν έχει επομένως εφαρμογή.</w:t>
      </w:r>
    </w:p>
    <w:p w14:paraId="47AE2481" w14:textId="4E0C31BC" w:rsidR="00F9513C" w:rsidRPr="00097A11" w:rsidRDefault="00F9513C" w:rsidP="00F9513C">
      <w:pPr>
        <w:pStyle w:val="2"/>
      </w:pPr>
      <w:bookmarkStart w:id="13" w:name="_Toc51142270"/>
      <w:r w:rsidRPr="00097A11">
        <w:t xml:space="preserve">Άρθρο </w:t>
      </w:r>
      <w:r w:rsidR="007175F5">
        <w:t>7</w:t>
      </w:r>
      <w:r w:rsidRPr="00097A11">
        <w:t xml:space="preserve"> (αρ.119 (1) (δ))</w:t>
      </w:r>
      <w:bookmarkEnd w:id="13"/>
    </w:p>
    <w:p w14:paraId="652C98F2" w14:textId="56019B53" w:rsidR="000D3202" w:rsidRPr="00097A11" w:rsidRDefault="00F9513C" w:rsidP="00E06B34">
      <w:r w:rsidRPr="00097A11">
        <w:t>Κατανομή αρμοδιοτήτων μεταξύ ΔΣΜ εντός ΕΦΣ, σύμφωνα με το άρθρο 141 παράγραφος 9, εάν περισσότεροι από ένας ΔΣΜ λειτουργούν στην ΕΦΣ</w:t>
      </w:r>
    </w:p>
    <w:p w14:paraId="65AB52AF" w14:textId="77777777" w:rsidR="00F9513C" w:rsidRPr="00097A11" w:rsidRDefault="00F9513C" w:rsidP="00F9513C">
      <w:pPr>
        <w:pStyle w:val="a3"/>
        <w:numPr>
          <w:ilvl w:val="0"/>
          <w:numId w:val="2"/>
        </w:numPr>
        <w:rPr>
          <w:vanish/>
        </w:rPr>
      </w:pPr>
    </w:p>
    <w:p w14:paraId="16B0B47E" w14:textId="77E48FC4" w:rsidR="00F9513C" w:rsidRPr="00097A11" w:rsidRDefault="0096710E" w:rsidP="00F9513C">
      <w:pPr>
        <w:pStyle w:val="a3"/>
        <w:numPr>
          <w:ilvl w:val="1"/>
          <w:numId w:val="2"/>
        </w:numPr>
      </w:pPr>
      <w:r w:rsidRPr="00097A11">
        <w:t>Η</w:t>
      </w:r>
      <w:r w:rsidR="00F9513C" w:rsidRPr="00097A11">
        <w:t xml:space="preserve"> περιοχή ελέγχου ευθύνης του </w:t>
      </w:r>
      <w:r w:rsidR="00FA2D53">
        <w:t>ΔΣΜ</w:t>
      </w:r>
      <w:r w:rsidR="00F9513C" w:rsidRPr="00097A11">
        <w:t xml:space="preserve"> αντιστοιχεί σε </w:t>
      </w:r>
      <w:r w:rsidRPr="00097A11">
        <w:t xml:space="preserve">ολόκληρη την περιοχή </w:t>
      </w:r>
      <w:r w:rsidR="00F9513C" w:rsidRPr="00097A11">
        <w:t xml:space="preserve">ΕΦΣ. Η απαίτηση του άρθρου 119 (1) (δ) του </w:t>
      </w:r>
      <w:r w:rsidR="00FA2D53">
        <w:t>Κανονισμού</w:t>
      </w:r>
      <w:r w:rsidR="00F9513C" w:rsidRPr="00097A11">
        <w:t xml:space="preserve"> δεν έχει επομένως εφαρμογή.</w:t>
      </w:r>
    </w:p>
    <w:p w14:paraId="4BDD98E1" w14:textId="6535678D" w:rsidR="00C34D9A" w:rsidRPr="00FA2D53" w:rsidRDefault="00C34D9A" w:rsidP="00C34D9A">
      <w:pPr>
        <w:pStyle w:val="2"/>
      </w:pPr>
      <w:bookmarkStart w:id="14" w:name="_Toc51142271"/>
      <w:r w:rsidRPr="00FA2D53">
        <w:t xml:space="preserve">Άρθρο </w:t>
      </w:r>
      <w:r w:rsidR="007175F5">
        <w:t>8</w:t>
      </w:r>
      <w:r w:rsidRPr="00FA2D53">
        <w:t xml:space="preserve"> (αρ.119 (1) (ε))</w:t>
      </w:r>
      <w:bookmarkEnd w:id="14"/>
    </w:p>
    <w:p w14:paraId="545E5547" w14:textId="0ADBBA88" w:rsidR="00C34D9A" w:rsidRPr="00FA2D53" w:rsidRDefault="00C34D9A" w:rsidP="00E06B34">
      <w:r w:rsidRPr="00FA2D53">
        <w:t xml:space="preserve">Κατά περίπτωση διορισμός του ΔΣΜ που είναι υπεύθυνος για τα καθήκοντα που αναφέρονται στο </w:t>
      </w:r>
      <w:r w:rsidR="00551172">
        <w:t>αρ.</w:t>
      </w:r>
      <w:r w:rsidRPr="00FA2D53">
        <w:t>145 παράγραφος 6</w:t>
      </w:r>
    </w:p>
    <w:p w14:paraId="46E29B29" w14:textId="77777777" w:rsidR="00C34D9A" w:rsidRPr="00FA2D53" w:rsidRDefault="00C34D9A" w:rsidP="00C34D9A">
      <w:pPr>
        <w:pStyle w:val="a3"/>
        <w:numPr>
          <w:ilvl w:val="0"/>
          <w:numId w:val="2"/>
        </w:numPr>
        <w:rPr>
          <w:vanish/>
        </w:rPr>
      </w:pPr>
    </w:p>
    <w:p w14:paraId="7FD5092B" w14:textId="5C9AFB22" w:rsidR="00C34D9A" w:rsidRPr="00FA2D53" w:rsidRDefault="0096710E" w:rsidP="00C34D9A">
      <w:pPr>
        <w:pStyle w:val="a3"/>
        <w:numPr>
          <w:ilvl w:val="1"/>
          <w:numId w:val="2"/>
        </w:numPr>
      </w:pPr>
      <w:r w:rsidRPr="00FA2D53">
        <w:t>Η</w:t>
      </w:r>
      <w:r w:rsidR="00C34D9A" w:rsidRPr="00FA2D53">
        <w:t xml:space="preserve"> περιοχή ελέγχου ευθύνης του </w:t>
      </w:r>
      <w:r w:rsidR="00551172">
        <w:t>ΔΣΜ</w:t>
      </w:r>
      <w:r w:rsidR="00C34D9A" w:rsidRPr="00FA2D53">
        <w:t xml:space="preserve"> αντιστοιχεί σε </w:t>
      </w:r>
      <w:r w:rsidRPr="00FA2D53">
        <w:t>ολόκληρη την περιοχή</w:t>
      </w:r>
      <w:r w:rsidR="00C34D9A" w:rsidRPr="00FA2D53">
        <w:t xml:space="preserve"> ΕΦΣ. Η απαίτηση του άρθρου 119 (1) (</w:t>
      </w:r>
      <w:r w:rsidR="00B87EC3" w:rsidRPr="00FA2D53">
        <w:t>ε</w:t>
      </w:r>
      <w:r w:rsidR="00C34D9A" w:rsidRPr="00FA2D53">
        <w:t xml:space="preserve">) του </w:t>
      </w:r>
      <w:r w:rsidR="00551172">
        <w:t>Κανονισμού</w:t>
      </w:r>
      <w:r w:rsidR="00C34D9A" w:rsidRPr="00FA2D53">
        <w:t xml:space="preserve"> δεν έχει επομένως εφαρμογή.</w:t>
      </w:r>
    </w:p>
    <w:p w14:paraId="7CE6DB22" w14:textId="410689F0" w:rsidR="00AE176F" w:rsidRPr="00551172" w:rsidRDefault="00AE176F" w:rsidP="00AE176F">
      <w:pPr>
        <w:pStyle w:val="2"/>
      </w:pPr>
      <w:bookmarkStart w:id="15" w:name="_Toc51142272"/>
      <w:r w:rsidRPr="00551172">
        <w:t xml:space="preserve">Άρθρο </w:t>
      </w:r>
      <w:r w:rsidR="007175F5">
        <w:t>9</w:t>
      </w:r>
      <w:r w:rsidRPr="00551172">
        <w:t xml:space="preserve"> (αρ.119 (1) (</w:t>
      </w:r>
      <w:proofErr w:type="spellStart"/>
      <w:r w:rsidRPr="00551172">
        <w:t>στ</w:t>
      </w:r>
      <w:proofErr w:type="spellEnd"/>
      <w:r w:rsidRPr="00551172">
        <w:t>))</w:t>
      </w:r>
      <w:bookmarkEnd w:id="15"/>
    </w:p>
    <w:p w14:paraId="57789DC7" w14:textId="21922E9F" w:rsidR="00634FC0" w:rsidRPr="00551172" w:rsidRDefault="00AE176F" w:rsidP="00F708B1">
      <w:r w:rsidRPr="00551172">
        <w:t xml:space="preserve">Πρόσθετες απαιτήσεις σχετικά με τη διαθεσιμότητα, την αξιοπιστία και </w:t>
      </w:r>
      <w:r w:rsidR="004836BE" w:rsidRPr="00551172">
        <w:t xml:space="preserve">την </w:t>
      </w:r>
      <w:proofErr w:type="spellStart"/>
      <w:r w:rsidR="008316E7" w:rsidRPr="00551172">
        <w:t>αντικαταστασιμότητα</w:t>
      </w:r>
      <w:proofErr w:type="spellEnd"/>
      <w:r w:rsidR="004836BE" w:rsidRPr="00551172">
        <w:t xml:space="preserve"> της τεχνικής</w:t>
      </w:r>
      <w:r w:rsidRPr="00551172">
        <w:t xml:space="preserve"> υποδομή</w:t>
      </w:r>
      <w:r w:rsidR="004836BE" w:rsidRPr="00551172">
        <w:t>ς</w:t>
      </w:r>
      <w:r w:rsidRPr="00551172">
        <w:t xml:space="preserve">, που </w:t>
      </w:r>
      <w:r w:rsidR="004836BE" w:rsidRPr="00551172">
        <w:t>καθορίζεται</w:t>
      </w:r>
      <w:r w:rsidRPr="00551172">
        <w:t xml:space="preserve"> σύμφωνα με το </w:t>
      </w:r>
      <w:r w:rsidR="00551172">
        <w:t>αρ.</w:t>
      </w:r>
      <w:r w:rsidRPr="00551172">
        <w:t xml:space="preserve">151 </w:t>
      </w:r>
      <w:r w:rsidR="00A2079A" w:rsidRPr="00551172">
        <w:t>(</w:t>
      </w:r>
      <w:r w:rsidRPr="00551172">
        <w:t>3</w:t>
      </w:r>
      <w:r w:rsidR="00A2079A" w:rsidRPr="00551172">
        <w:t>)</w:t>
      </w:r>
    </w:p>
    <w:p w14:paraId="07034992" w14:textId="77777777" w:rsidR="00AE176F" w:rsidRPr="00551172" w:rsidRDefault="00AE176F" w:rsidP="00AE176F">
      <w:pPr>
        <w:pStyle w:val="a3"/>
        <w:numPr>
          <w:ilvl w:val="0"/>
          <w:numId w:val="2"/>
        </w:numPr>
        <w:rPr>
          <w:vanish/>
        </w:rPr>
      </w:pPr>
    </w:p>
    <w:p w14:paraId="28F09B94" w14:textId="7192AF6B" w:rsidR="00AE176F" w:rsidRPr="00551172" w:rsidRDefault="008316E7" w:rsidP="00AE176F">
      <w:pPr>
        <w:pStyle w:val="a3"/>
        <w:numPr>
          <w:ilvl w:val="1"/>
          <w:numId w:val="2"/>
        </w:numPr>
      </w:pPr>
      <w:r w:rsidRPr="00551172">
        <w:t xml:space="preserve">Οι προδιαγραφές της </w:t>
      </w:r>
      <w:r w:rsidR="00A2079A" w:rsidRPr="00551172">
        <w:t xml:space="preserve">σχετικής </w:t>
      </w:r>
      <w:r w:rsidRPr="00551172">
        <w:t>πλατφόρμας</w:t>
      </w:r>
      <w:r w:rsidR="00A2079A" w:rsidRPr="00551172">
        <w:t xml:space="preserve"> που προβλέπει σχετικά με τη διαθεσιμότητα και </w:t>
      </w:r>
      <w:proofErr w:type="spellStart"/>
      <w:r w:rsidR="00A2079A" w:rsidRPr="00551172">
        <w:t>αντικαταστασιμότητα</w:t>
      </w:r>
      <w:proofErr w:type="spellEnd"/>
      <w:r w:rsidR="00A2079A" w:rsidRPr="00551172">
        <w:t xml:space="preserve"> της τεχνικής υποδομής σύμφωνα με το </w:t>
      </w:r>
      <w:r w:rsidR="00356B73">
        <w:t>αρ.</w:t>
      </w:r>
      <w:r w:rsidR="00A2079A" w:rsidRPr="00551172">
        <w:t>1</w:t>
      </w:r>
      <w:r w:rsidR="00907F61">
        <w:t>51</w:t>
      </w:r>
      <w:r w:rsidR="00A2079A" w:rsidRPr="00551172">
        <w:t>(3)</w:t>
      </w:r>
      <w:r w:rsidR="004F7721" w:rsidRPr="00551172">
        <w:t xml:space="preserve"> είναι σύγχρονες και</w:t>
      </w:r>
      <w:r w:rsidR="00A2079A" w:rsidRPr="00551172">
        <w:t xml:space="preserve"> καλύπτουν τη συγκεκριμέν</w:t>
      </w:r>
      <w:r w:rsidR="00356B73">
        <w:t>η</w:t>
      </w:r>
      <w:r w:rsidR="00A2079A" w:rsidRPr="00551172">
        <w:t xml:space="preserve"> απαίτηση</w:t>
      </w:r>
      <w:r w:rsidRPr="00551172">
        <w:t xml:space="preserve">. </w:t>
      </w:r>
      <w:r w:rsidR="004F7721" w:rsidRPr="00551172">
        <w:t>Η εν λόγω πλατφόρμα</w:t>
      </w:r>
      <w:r w:rsidRPr="00551172">
        <w:t xml:space="preserve"> προβλέπει και διασφαλίζει τις απαιτήσεις αξιοπιστίας και </w:t>
      </w:r>
      <w:proofErr w:type="spellStart"/>
      <w:r w:rsidRPr="00551172">
        <w:t>αντικαταστασιμότητας</w:t>
      </w:r>
      <w:proofErr w:type="spellEnd"/>
      <w:r w:rsidRPr="00551172">
        <w:t xml:space="preserve"> και βρίσκεται σε λειτουργία από τον 9/2017.</w:t>
      </w:r>
    </w:p>
    <w:p w14:paraId="3134F335" w14:textId="4CFD435B" w:rsidR="00AE176F" w:rsidRPr="00356B73" w:rsidRDefault="00AE176F" w:rsidP="00AE176F">
      <w:pPr>
        <w:pStyle w:val="2"/>
      </w:pPr>
      <w:bookmarkStart w:id="16" w:name="_Toc51142273"/>
      <w:r w:rsidRPr="00356B73">
        <w:t xml:space="preserve">Άρθρο </w:t>
      </w:r>
      <w:r w:rsidR="007175F5">
        <w:t>10</w:t>
      </w:r>
      <w:r w:rsidRPr="00356B73">
        <w:t xml:space="preserve"> (αρ.119 (1) (ζ))</w:t>
      </w:r>
      <w:bookmarkEnd w:id="16"/>
    </w:p>
    <w:p w14:paraId="7FC55BBD" w14:textId="1703588C" w:rsidR="00AE176F" w:rsidRPr="00356B73" w:rsidRDefault="00AE176F" w:rsidP="00E06B34">
      <w:r w:rsidRPr="00356B73">
        <w:t xml:space="preserve">Λειτουργικές διαδικασίες σε περίπτωση εξάντλησης ΕΑΣ ή ΕΑ, σύμφωνα στο </w:t>
      </w:r>
      <w:r w:rsidR="00356B73">
        <w:t>αρ.152(</w:t>
      </w:r>
      <w:r w:rsidRPr="00356B73">
        <w:t>8</w:t>
      </w:r>
      <w:r w:rsidR="00356B73">
        <w:t>)</w:t>
      </w:r>
    </w:p>
    <w:p w14:paraId="46962DFC" w14:textId="77777777" w:rsidR="00AE176F" w:rsidRPr="00356B73" w:rsidRDefault="00AE176F" w:rsidP="00AE176F">
      <w:pPr>
        <w:pStyle w:val="a3"/>
        <w:numPr>
          <w:ilvl w:val="0"/>
          <w:numId w:val="2"/>
        </w:numPr>
        <w:rPr>
          <w:vanish/>
        </w:rPr>
      </w:pPr>
    </w:p>
    <w:p w14:paraId="61CFAC90" w14:textId="28FC4067" w:rsidR="00AE176F" w:rsidRPr="00356B73" w:rsidRDefault="00AE176F" w:rsidP="00AE176F">
      <w:pPr>
        <w:pStyle w:val="a3"/>
        <w:numPr>
          <w:ilvl w:val="1"/>
          <w:numId w:val="2"/>
        </w:numPr>
      </w:pPr>
      <w:r w:rsidRPr="00356B73">
        <w:t xml:space="preserve">Σύμφωνα με το </w:t>
      </w:r>
      <w:r w:rsidR="00356B73">
        <w:t>αρ.</w:t>
      </w:r>
      <w:r w:rsidRPr="00356B73">
        <w:t xml:space="preserve">152 (8) του </w:t>
      </w:r>
      <w:r w:rsidR="00356B73">
        <w:t>Κανονισμού</w:t>
      </w:r>
      <w:r w:rsidRPr="00356B73">
        <w:t xml:space="preserve">, ορίζεται ότι οι διαδικασίες λειτουργίας που χρησιμοποιούνται σε περιπτώσεις εξάντλησης ΕΑΣ ή ΕΑ, προβλέπουν τη δυνατότητα να ζητήσει ο </w:t>
      </w:r>
      <w:r w:rsidR="00356B73">
        <w:t>ΔΣΜ</w:t>
      </w:r>
      <w:r w:rsidRPr="00356B73">
        <w:t xml:space="preserve"> από οποιαδήποτε </w:t>
      </w:r>
      <w:r w:rsidR="00356B73">
        <w:t xml:space="preserve">οντότητα </w:t>
      </w:r>
      <w:r w:rsidR="00356B73">
        <w:lastRenderedPageBreak/>
        <w:t>υπηρεσίας εξισορρόπησης</w:t>
      </w:r>
      <w:r w:rsidRPr="00356B73">
        <w:t xml:space="preserve"> που πληροί τις απαιτήσεις παροχής ΕΑΣ να μεταβάλλει καταλλήλως την παραγωγή ή κατανάλωσή του αντίστοιχα.</w:t>
      </w:r>
    </w:p>
    <w:p w14:paraId="2D917AE0" w14:textId="20BC5D57" w:rsidR="001C3B67" w:rsidRPr="004B2276" w:rsidRDefault="001C3B67" w:rsidP="001C3B67">
      <w:pPr>
        <w:pStyle w:val="2"/>
      </w:pPr>
      <w:bookmarkStart w:id="17" w:name="_Toc51142274"/>
      <w:r w:rsidRPr="004B2276">
        <w:t xml:space="preserve">Άρθρο </w:t>
      </w:r>
      <w:r w:rsidR="007175F5">
        <w:t>11</w:t>
      </w:r>
      <w:r w:rsidRPr="004B2276">
        <w:t xml:space="preserve"> (αρ.119 (1) (</w:t>
      </w:r>
      <w:r w:rsidR="00910E05">
        <w:t>θ</w:t>
      </w:r>
      <w:r w:rsidRPr="004B2276">
        <w:t>))</w:t>
      </w:r>
      <w:bookmarkEnd w:id="17"/>
    </w:p>
    <w:p w14:paraId="549045EF" w14:textId="49FC60BC" w:rsidR="001C3B67" w:rsidRPr="004B2276" w:rsidRDefault="001C3B67" w:rsidP="00E06B34">
      <w:r w:rsidRPr="004B2276">
        <w:t xml:space="preserve">Κανόνες </w:t>
      </w:r>
      <w:proofErr w:type="spellStart"/>
      <w:r w:rsidRPr="004B2276">
        <w:t>διαστασιολόγησης</w:t>
      </w:r>
      <w:proofErr w:type="spellEnd"/>
      <w:r w:rsidR="00725135" w:rsidRPr="004B2276">
        <w:t xml:space="preserve"> ΕΑ</w:t>
      </w:r>
      <w:r w:rsidRPr="004B2276">
        <w:t xml:space="preserve">, που ορίζονται σύμφωνα με το </w:t>
      </w:r>
      <w:r w:rsidR="00F961F3">
        <w:t>αρ.</w:t>
      </w:r>
      <w:r w:rsidRPr="004B2276">
        <w:t xml:space="preserve">160 </w:t>
      </w:r>
      <w:r w:rsidR="00F961F3">
        <w:t>(</w:t>
      </w:r>
      <w:r w:rsidRPr="004B2276">
        <w:t>2</w:t>
      </w:r>
      <w:r w:rsidR="00F961F3">
        <w:t>)</w:t>
      </w:r>
    </w:p>
    <w:p w14:paraId="185DFF88" w14:textId="77777777" w:rsidR="001C3B67" w:rsidRPr="004B2276" w:rsidRDefault="001C3B67" w:rsidP="001C3B67">
      <w:pPr>
        <w:pStyle w:val="a3"/>
        <w:numPr>
          <w:ilvl w:val="0"/>
          <w:numId w:val="2"/>
        </w:numPr>
        <w:rPr>
          <w:vanish/>
        </w:rPr>
      </w:pPr>
    </w:p>
    <w:p w14:paraId="4FC74D39" w14:textId="362B1BC3" w:rsidR="001C3B67" w:rsidRPr="004B2276" w:rsidRDefault="001C3B67" w:rsidP="001C3B67">
      <w:pPr>
        <w:pStyle w:val="a3"/>
        <w:numPr>
          <w:ilvl w:val="1"/>
          <w:numId w:val="2"/>
        </w:numPr>
      </w:pPr>
      <w:r w:rsidRPr="004B2276">
        <w:t xml:space="preserve">Στην παρούσα φάση </w:t>
      </w:r>
      <w:r w:rsidR="00B454DE" w:rsidRPr="004B2276">
        <w:t xml:space="preserve">δεν προβλέπεται ανάγκη </w:t>
      </w:r>
      <w:r w:rsidRPr="004B2276">
        <w:t>ανάπτυξη</w:t>
      </w:r>
      <w:r w:rsidR="00B454DE" w:rsidRPr="004B2276">
        <w:t>ς</w:t>
      </w:r>
      <w:r w:rsidRPr="004B2276">
        <w:t xml:space="preserve"> του προϊόντος αυτού</w:t>
      </w:r>
      <w:r w:rsidR="00B454DE" w:rsidRPr="004B2276">
        <w:t xml:space="preserve"> για </w:t>
      </w:r>
      <w:r w:rsidR="00F961F3">
        <w:t>την ΕΦΣ ευθύνης του ΔΣΜ</w:t>
      </w:r>
      <w:r w:rsidRPr="004B2276">
        <w:t>.</w:t>
      </w:r>
      <w:r w:rsidR="00783EA9" w:rsidRPr="004B2276">
        <w:t xml:space="preserve"> </w:t>
      </w:r>
      <w:r w:rsidR="00B454DE" w:rsidRPr="004B2276">
        <w:t xml:space="preserve">Κατά συνέπεια, </w:t>
      </w:r>
      <w:r w:rsidR="00783EA9" w:rsidRPr="004B2276">
        <w:t xml:space="preserve">οι απαιτήσεις που αναφέρονται στο </w:t>
      </w:r>
      <w:r w:rsidR="00F961F3">
        <w:t>αρ.</w:t>
      </w:r>
      <w:r w:rsidR="00783EA9" w:rsidRPr="004B2276">
        <w:t>160 δεν τυγχάνουν εφαρμογής στο παρόν.</w:t>
      </w:r>
      <w:r w:rsidR="00B454DE" w:rsidRPr="004B2276">
        <w:t xml:space="preserve"> Η εν λόγω ποσότητα ΕΑ δύναται να επιτευχθεί εμμέσως μέσω </w:t>
      </w:r>
      <w:proofErr w:type="spellStart"/>
      <w:r w:rsidR="00B454DE" w:rsidRPr="004B2276">
        <w:t>επικαιροποιημένης</w:t>
      </w:r>
      <w:proofErr w:type="spellEnd"/>
      <w:r w:rsidR="00B454DE" w:rsidRPr="004B2276">
        <w:t xml:space="preserve"> επίλυσης του προγράμματος </w:t>
      </w:r>
      <w:r w:rsidR="00C0449A" w:rsidRPr="004B2276">
        <w:t>υπό</w:t>
      </w:r>
      <w:r w:rsidR="00B454DE" w:rsidRPr="004B2276">
        <w:t xml:space="preserve"> τις νέες παραμέτρους που έχουν επιβληθεί στο Σύστημα.</w:t>
      </w:r>
    </w:p>
    <w:p w14:paraId="33E20E5C" w14:textId="3D0965C8" w:rsidR="00783EA9" w:rsidRPr="004B2276" w:rsidRDefault="00783EA9" w:rsidP="00783EA9">
      <w:pPr>
        <w:pStyle w:val="2"/>
      </w:pPr>
      <w:bookmarkStart w:id="18" w:name="_Toc51142275"/>
      <w:r w:rsidRPr="004B2276">
        <w:t xml:space="preserve">Άρθρο </w:t>
      </w:r>
      <w:r w:rsidR="007175F5">
        <w:t>12</w:t>
      </w:r>
      <w:r w:rsidRPr="004B2276">
        <w:t xml:space="preserve"> (αρ.119 (1) (ι))</w:t>
      </w:r>
      <w:bookmarkEnd w:id="18"/>
    </w:p>
    <w:p w14:paraId="02204011" w14:textId="2EDA51B1" w:rsidR="00783EA9" w:rsidRPr="004B2276" w:rsidRDefault="00FB2EC6" w:rsidP="00E06B34">
      <w:r w:rsidRPr="004B2276">
        <w:t>Εάν περισσότερ</w:t>
      </w:r>
      <w:r w:rsidR="007A34DE" w:rsidRPr="004B2276">
        <w:t>οι από ένας ΔΣΜ λειτουργούν στην ενότητα ΕΦΣ</w:t>
      </w:r>
      <w:r w:rsidRPr="004B2276">
        <w:t xml:space="preserve">, ο καταμερισμός ευθυνών ορίζεται σύμφωνα με το </w:t>
      </w:r>
      <w:r w:rsidR="00F961F3">
        <w:t>αρ.157(</w:t>
      </w:r>
      <w:r w:rsidRPr="004B2276">
        <w:t>3</w:t>
      </w:r>
      <w:r w:rsidR="00F961F3">
        <w:t>)</w:t>
      </w:r>
      <w:r w:rsidRPr="004B2276">
        <w:t xml:space="preserve"> και, κατά περίπτωση, τον καθορισμένο καταμερισμό ευθυνών σύμφωνα με το </w:t>
      </w:r>
      <w:r w:rsidR="00F961F3">
        <w:t>αρ.</w:t>
      </w:r>
      <w:r w:rsidRPr="004B2276">
        <w:t>160</w:t>
      </w:r>
      <w:r w:rsidR="00F961F3">
        <w:t>(</w:t>
      </w:r>
      <w:r w:rsidRPr="004B2276">
        <w:t>6</w:t>
      </w:r>
      <w:r w:rsidR="00F961F3">
        <w:t>)</w:t>
      </w:r>
    </w:p>
    <w:p w14:paraId="50908483" w14:textId="77777777" w:rsidR="00FB2EC6" w:rsidRPr="004B2276" w:rsidRDefault="00FB2EC6" w:rsidP="00FB2EC6">
      <w:pPr>
        <w:pStyle w:val="a3"/>
        <w:numPr>
          <w:ilvl w:val="0"/>
          <w:numId w:val="2"/>
        </w:numPr>
        <w:rPr>
          <w:vanish/>
        </w:rPr>
      </w:pPr>
    </w:p>
    <w:p w14:paraId="1C494DB9" w14:textId="45F4DB6A" w:rsidR="00AE176F" w:rsidRPr="004B2276" w:rsidRDefault="00D6716F" w:rsidP="00FB2EC6">
      <w:pPr>
        <w:pStyle w:val="a3"/>
        <w:numPr>
          <w:ilvl w:val="1"/>
          <w:numId w:val="2"/>
        </w:numPr>
      </w:pPr>
      <w:r w:rsidRPr="004B2276">
        <w:t>Η</w:t>
      </w:r>
      <w:r w:rsidR="00FB2EC6" w:rsidRPr="004B2276">
        <w:t xml:space="preserve"> περιοχή ελέγχου ευθύνης του </w:t>
      </w:r>
      <w:r w:rsidR="00F961F3">
        <w:t>ΔΣΜ</w:t>
      </w:r>
      <w:r w:rsidR="00FB2EC6" w:rsidRPr="004B2276">
        <w:t xml:space="preserve"> αντιστοιχεί σε </w:t>
      </w:r>
      <w:r w:rsidRPr="004B2276">
        <w:t>ολόκληρη την</w:t>
      </w:r>
      <w:r w:rsidR="00FB2EC6" w:rsidRPr="004B2276">
        <w:t xml:space="preserve"> ΕΦΣ. Η απαίτηση του άρθρου 119 (1) (ι) του </w:t>
      </w:r>
      <w:r w:rsidR="00F961F3">
        <w:t>Κανονισμού</w:t>
      </w:r>
      <w:r w:rsidR="00FB2EC6" w:rsidRPr="004B2276">
        <w:t xml:space="preserve"> δεν έχει εφαρμογή.</w:t>
      </w:r>
    </w:p>
    <w:p w14:paraId="2B3CF515" w14:textId="0E9B89E9" w:rsidR="00715061" w:rsidRPr="004B2276" w:rsidRDefault="00715061" w:rsidP="00715061">
      <w:pPr>
        <w:pStyle w:val="2"/>
      </w:pPr>
      <w:bookmarkStart w:id="19" w:name="_Toc51142276"/>
      <w:bookmarkStart w:id="20" w:name="_GoBack"/>
      <w:bookmarkEnd w:id="20"/>
      <w:r w:rsidRPr="004B2276">
        <w:t xml:space="preserve">Άρθρο </w:t>
      </w:r>
      <w:r w:rsidR="007175F5">
        <w:t>13</w:t>
      </w:r>
      <w:r w:rsidRPr="004B2276">
        <w:t xml:space="preserve"> (αρ.119 (1) (</w:t>
      </w:r>
      <w:proofErr w:type="spellStart"/>
      <w:r w:rsidRPr="004B2276">
        <w:t>ια</w:t>
      </w:r>
      <w:proofErr w:type="spellEnd"/>
      <w:r w:rsidRPr="004B2276">
        <w:t>))</w:t>
      </w:r>
      <w:bookmarkEnd w:id="19"/>
    </w:p>
    <w:p w14:paraId="688E0404" w14:textId="3A81D9C1" w:rsidR="00715061" w:rsidRPr="004B2276" w:rsidRDefault="00715061" w:rsidP="00E06B34">
      <w:r w:rsidRPr="004B2276">
        <w:t>Διαδικασία προσαρμογής που ορίζεται σύμφω</w:t>
      </w:r>
      <w:r w:rsidR="00783D02" w:rsidRPr="004B2276">
        <w:t xml:space="preserve">να με το </w:t>
      </w:r>
      <w:r w:rsidR="00284F2A">
        <w:t>αρ.</w:t>
      </w:r>
      <w:r w:rsidR="00783D02" w:rsidRPr="004B2276">
        <w:t xml:space="preserve">157 </w:t>
      </w:r>
      <w:r w:rsidR="00284F2A">
        <w:t>(</w:t>
      </w:r>
      <w:r w:rsidR="00783D02" w:rsidRPr="004B2276">
        <w:t>4</w:t>
      </w:r>
      <w:r w:rsidR="00284F2A">
        <w:t>)</w:t>
      </w:r>
    </w:p>
    <w:p w14:paraId="4CF503BE" w14:textId="77777777" w:rsidR="00783D02" w:rsidRPr="004B2276" w:rsidRDefault="00783D02" w:rsidP="00783D02">
      <w:pPr>
        <w:pStyle w:val="a3"/>
        <w:numPr>
          <w:ilvl w:val="0"/>
          <w:numId w:val="2"/>
        </w:numPr>
        <w:rPr>
          <w:vanish/>
        </w:rPr>
      </w:pPr>
    </w:p>
    <w:p w14:paraId="506D1E62" w14:textId="7DD4D66A" w:rsidR="00783D02" w:rsidRPr="004B2276" w:rsidRDefault="00E7077C" w:rsidP="00AE6983">
      <w:pPr>
        <w:pStyle w:val="a3"/>
        <w:numPr>
          <w:ilvl w:val="1"/>
          <w:numId w:val="2"/>
        </w:numPr>
      </w:pPr>
      <w:r w:rsidRPr="004B2276">
        <w:t xml:space="preserve">Σύμφωνα και με τα παραπάνω, ο </w:t>
      </w:r>
      <w:r w:rsidR="00284F2A">
        <w:t>ΔΣΜ</w:t>
      </w:r>
      <w:r w:rsidRPr="004B2276">
        <w:t xml:space="preserve"> προβλέπει την εκ νέου αποδέσμευση ποσότητας εφεδρείας. Επί του </w:t>
      </w:r>
      <w:r w:rsidR="00284F2A">
        <w:t>αρ.</w:t>
      </w:r>
      <w:r w:rsidRPr="004B2276">
        <w:t>157(4), όντας ο μοναδικός ΔΣΜ της ενότητας ΕΦΣ ευθύνης του, για τη διαδικασία κλιμάκωσης σε περίπτωση κινδύνου τα βήματα προβλέπονται</w:t>
      </w:r>
      <w:r w:rsidR="00502EA4">
        <w:t xml:space="preserve"> στον Κανονισμό (ΕΕ) 2017/2196</w:t>
      </w:r>
      <w:r w:rsidRPr="004B2276">
        <w:t>.</w:t>
      </w:r>
    </w:p>
    <w:p w14:paraId="56BA64D8" w14:textId="273946BB" w:rsidR="00604FFB" w:rsidRPr="004B2276" w:rsidRDefault="00604FFB" w:rsidP="00604FFB">
      <w:pPr>
        <w:pStyle w:val="2"/>
      </w:pPr>
      <w:bookmarkStart w:id="21" w:name="_Toc51142277"/>
      <w:r w:rsidRPr="004B2276">
        <w:t xml:space="preserve">Άρθρο </w:t>
      </w:r>
      <w:r w:rsidR="007175F5">
        <w:t>14</w:t>
      </w:r>
      <w:r w:rsidRPr="004B2276">
        <w:t xml:space="preserve"> (αρ.119 (1) (</w:t>
      </w:r>
      <w:proofErr w:type="spellStart"/>
      <w:r w:rsidRPr="004B2276">
        <w:t>ιβ</w:t>
      </w:r>
      <w:proofErr w:type="spellEnd"/>
      <w:r w:rsidRPr="004B2276">
        <w:t>))</w:t>
      </w:r>
      <w:bookmarkEnd w:id="21"/>
    </w:p>
    <w:p w14:paraId="175DD449" w14:textId="4F2265DF" w:rsidR="00897C70" w:rsidRPr="004B2276" w:rsidRDefault="00604FFB" w:rsidP="00E06B34">
      <w:r w:rsidRPr="004B2276">
        <w:t xml:space="preserve">Απαιτήσεις </w:t>
      </w:r>
      <w:r w:rsidR="004F4829" w:rsidRPr="004B2276">
        <w:t>διαθεσιμότητας ΕΑΣ</w:t>
      </w:r>
      <w:r w:rsidRPr="004B2276">
        <w:t xml:space="preserve">, απαιτήσεις ποιοτικού ελέγχου που ορίζονται σύμφωνα με το </w:t>
      </w:r>
      <w:r w:rsidR="00284F2A">
        <w:t>αρ.</w:t>
      </w:r>
      <w:r w:rsidRPr="004B2276">
        <w:t xml:space="preserve">158 </w:t>
      </w:r>
      <w:r w:rsidR="00291177" w:rsidRPr="004B2276">
        <w:t>(</w:t>
      </w:r>
      <w:r w:rsidRPr="004B2276">
        <w:t>2</w:t>
      </w:r>
      <w:r w:rsidR="00291177" w:rsidRPr="004B2276">
        <w:t>)</w:t>
      </w:r>
    </w:p>
    <w:p w14:paraId="0E99EA34" w14:textId="77777777" w:rsidR="00604FFB" w:rsidRPr="004B2276" w:rsidRDefault="00604FFB" w:rsidP="00604FFB">
      <w:pPr>
        <w:pStyle w:val="a3"/>
        <w:numPr>
          <w:ilvl w:val="0"/>
          <w:numId w:val="2"/>
        </w:numPr>
        <w:rPr>
          <w:vanish/>
        </w:rPr>
      </w:pPr>
    </w:p>
    <w:p w14:paraId="1B06414B" w14:textId="50E64491" w:rsidR="00604FFB" w:rsidRPr="004B2276" w:rsidRDefault="00604FFB" w:rsidP="007D70DB">
      <w:pPr>
        <w:pStyle w:val="a3"/>
        <w:numPr>
          <w:ilvl w:val="1"/>
          <w:numId w:val="2"/>
        </w:numPr>
      </w:pPr>
      <w:r w:rsidRPr="004B2276">
        <w:t xml:space="preserve">Σύμφωνα με το </w:t>
      </w:r>
      <w:r w:rsidR="00284F2A">
        <w:t>αρ.</w:t>
      </w:r>
      <w:r w:rsidRPr="004B2276">
        <w:t xml:space="preserve">119 (1) του </w:t>
      </w:r>
      <w:r w:rsidR="00284F2A">
        <w:t>Κανονισμού</w:t>
      </w:r>
      <w:r w:rsidRPr="004B2276">
        <w:t xml:space="preserve">, ο </w:t>
      </w:r>
      <w:r w:rsidR="00284F2A">
        <w:t>ΔΣΜ</w:t>
      </w:r>
      <w:r w:rsidR="0055296E" w:rsidRPr="004B2276">
        <w:t xml:space="preserve"> με βάση το </w:t>
      </w:r>
      <w:r w:rsidR="00284F2A">
        <w:t>αρ.</w:t>
      </w:r>
      <w:r w:rsidR="0055296E" w:rsidRPr="004B2276">
        <w:t>158(2)</w:t>
      </w:r>
      <w:r w:rsidRPr="004B2276">
        <w:t xml:space="preserve"> διευκρινίζει, για τους σκοπούς της πιστοποίησης </w:t>
      </w:r>
      <w:r w:rsidR="00431A91" w:rsidRPr="004B2276">
        <w:t>ικανότητας παροχής ΕΑΣ</w:t>
      </w:r>
      <w:r w:rsidRPr="004B2276">
        <w:t>, διαθεσιμότητα κ</w:t>
      </w:r>
      <w:r w:rsidR="00F66EDE" w:rsidRPr="004B2276">
        <w:t>αι απαιτήσεις ποιοτικού ελέγχου</w:t>
      </w:r>
      <w:r w:rsidR="00431A91" w:rsidRPr="004B2276">
        <w:t>.</w:t>
      </w:r>
      <w:r w:rsidR="00361BF3" w:rsidRPr="004B2276">
        <w:t xml:space="preserve"> </w:t>
      </w:r>
      <w:r w:rsidR="007D70DB">
        <w:t xml:space="preserve">Οι </w:t>
      </w:r>
      <w:r w:rsidR="00C27DED">
        <w:t xml:space="preserve">βασικές αρχές και </w:t>
      </w:r>
      <w:r w:rsidR="007D70DB">
        <w:t xml:space="preserve">μεθοδολογίες που ακολουθούνται αναφέρονται διεξοδικότερα στη </w:t>
      </w:r>
      <w:r w:rsidR="007D70DB" w:rsidRPr="007D70DB">
        <w:t xml:space="preserve">Μεθοδολογία Καθορισμού </w:t>
      </w:r>
      <w:proofErr w:type="spellStart"/>
      <w:r w:rsidR="007D70DB" w:rsidRPr="007D70DB">
        <w:t>Ζωνικών</w:t>
      </w:r>
      <w:proofErr w:type="spellEnd"/>
      <w:r w:rsidR="007D70DB" w:rsidRPr="007D70DB">
        <w:t xml:space="preserve"> / Συστημικών Αναγκών Ισχύος Εξισορρόπησης σύμφωνα τις διατάξεις του άρθρου 41 του Κανονισμού Αγοράς Εξισορρόπησης</w:t>
      </w:r>
      <w:r w:rsidR="007D70DB">
        <w:t>, όπως και στον Κανονισμό Αγοράς Εξισορρόπησης.</w:t>
      </w:r>
    </w:p>
    <w:p w14:paraId="09CD0659" w14:textId="3901EA73" w:rsidR="001E7201" w:rsidRPr="004B2276" w:rsidRDefault="001E7201" w:rsidP="001E7201">
      <w:pPr>
        <w:pStyle w:val="2"/>
      </w:pPr>
      <w:bookmarkStart w:id="22" w:name="_Toc51142278"/>
      <w:r w:rsidRPr="004B2276">
        <w:t xml:space="preserve">Άρθρο </w:t>
      </w:r>
      <w:r w:rsidR="007175F5">
        <w:t>15</w:t>
      </w:r>
      <w:r w:rsidRPr="004B2276">
        <w:t xml:space="preserve"> (αρ.119 (1) (</w:t>
      </w:r>
      <w:proofErr w:type="spellStart"/>
      <w:r w:rsidRPr="004B2276">
        <w:t>ιγ</w:t>
      </w:r>
      <w:proofErr w:type="spellEnd"/>
      <w:r w:rsidRPr="004B2276">
        <w:t>))</w:t>
      </w:r>
      <w:bookmarkEnd w:id="22"/>
    </w:p>
    <w:p w14:paraId="77E0E563" w14:textId="0594F05A" w:rsidR="001E7201" w:rsidRPr="004B2276" w:rsidRDefault="00925476" w:rsidP="00E06B34">
      <w:r w:rsidRPr="004B2276">
        <w:t>Κ</w:t>
      </w:r>
      <w:r w:rsidR="001E7201" w:rsidRPr="004B2276">
        <w:t xml:space="preserve">ατά περίπτωση, τυχόν όρια στην ανταλλαγή ΕΔΣ μεταξύ περιοχών ΕΦΣ των διαφόρων ενοτήτων ΕΦΣ εντός της συγχρονισμένης περιοχής </w:t>
      </w:r>
      <w:r w:rsidR="00F55C2F" w:rsidRPr="004B2276">
        <w:t>ΗΕ</w:t>
      </w:r>
      <w:r w:rsidR="001E7201" w:rsidRPr="004B2276">
        <w:t xml:space="preserve"> και την ανταλλαγή ΕΑΣ ή ΕΑ  μεταξύ των περιοχών ΕΦΣ μιας ενότητας ΕΦΣ συγχρονισμένης περιοχής αποτελούμενης από περισσότερες από μία ενότητες ΕΦΣ, όπως καθορίζονται σύμφωνα με το </w:t>
      </w:r>
      <w:proofErr w:type="spellStart"/>
      <w:r w:rsidR="00284F2A">
        <w:t>αρ</w:t>
      </w:r>
      <w:proofErr w:type="spellEnd"/>
      <w:r w:rsidR="00284F2A">
        <w:t>. 163(</w:t>
      </w:r>
      <w:r w:rsidR="001E7201" w:rsidRPr="004B2276">
        <w:t>2</w:t>
      </w:r>
      <w:r w:rsidR="00284F2A">
        <w:t>)</w:t>
      </w:r>
      <w:r w:rsidR="001E7201" w:rsidRPr="004B2276">
        <w:t xml:space="preserve">, το </w:t>
      </w:r>
      <w:r w:rsidR="00284F2A">
        <w:t>αρ.</w:t>
      </w:r>
      <w:r w:rsidR="001E7201" w:rsidRPr="004B2276">
        <w:t xml:space="preserve">167 και το </w:t>
      </w:r>
      <w:r w:rsidR="00284F2A">
        <w:t>αρ.</w:t>
      </w:r>
      <w:r w:rsidR="001E7201" w:rsidRPr="004B2276">
        <w:t xml:space="preserve">169 </w:t>
      </w:r>
      <w:r w:rsidR="00284F2A">
        <w:t>(</w:t>
      </w:r>
      <w:r w:rsidR="001E7201" w:rsidRPr="004B2276">
        <w:t>2</w:t>
      </w:r>
      <w:r w:rsidR="00284F2A">
        <w:t>)</w:t>
      </w:r>
    </w:p>
    <w:p w14:paraId="5B969E7E" w14:textId="77777777" w:rsidR="00925476" w:rsidRPr="004B2276" w:rsidRDefault="00925476" w:rsidP="00925476">
      <w:pPr>
        <w:pStyle w:val="a3"/>
        <w:numPr>
          <w:ilvl w:val="0"/>
          <w:numId w:val="2"/>
        </w:numPr>
        <w:rPr>
          <w:vanish/>
        </w:rPr>
      </w:pPr>
    </w:p>
    <w:p w14:paraId="6A35594F" w14:textId="7D19A233" w:rsidR="001E7201" w:rsidRPr="00284F2A" w:rsidRDefault="001E7201" w:rsidP="00925476">
      <w:pPr>
        <w:pStyle w:val="a3"/>
        <w:numPr>
          <w:ilvl w:val="1"/>
          <w:numId w:val="2"/>
        </w:numPr>
      </w:pPr>
      <w:r w:rsidRPr="00284F2A">
        <w:t xml:space="preserve">Οι απαιτήσεις του </w:t>
      </w:r>
      <w:r w:rsidR="00284F2A">
        <w:t>αρ.</w:t>
      </w:r>
      <w:r w:rsidRPr="00284F2A">
        <w:t>119 (1) (</w:t>
      </w:r>
      <w:proofErr w:type="spellStart"/>
      <w:r w:rsidRPr="00284F2A">
        <w:t>ιγ</w:t>
      </w:r>
      <w:proofErr w:type="spellEnd"/>
      <w:r w:rsidRPr="00284F2A">
        <w:t xml:space="preserve">) του </w:t>
      </w:r>
      <w:r w:rsidR="00284F2A">
        <w:t>Κανονισμού</w:t>
      </w:r>
      <w:r w:rsidRPr="00284F2A">
        <w:t xml:space="preserve"> για τον ορισμό των ορίων ανταλλαγής ΕΔΣ μεταξύ περιοχών ΕΦΣ των διαφόρων ενοτήτων ΕΦΣ εντός της συγχρονισμένης περιοχής δεν ισχύουν στη σύγχρονη περιοχή, που ορίζεται σύμφωνα με το </w:t>
      </w:r>
      <w:r w:rsidR="00284F2A">
        <w:t>αρ.</w:t>
      </w:r>
      <w:r w:rsidRPr="00284F2A">
        <w:t xml:space="preserve">163 </w:t>
      </w:r>
      <w:r w:rsidR="0099055D" w:rsidRPr="00284F2A">
        <w:t>(</w:t>
      </w:r>
      <w:r w:rsidRPr="00284F2A">
        <w:t>2</w:t>
      </w:r>
      <w:r w:rsidR="0099055D" w:rsidRPr="00284F2A">
        <w:t>)</w:t>
      </w:r>
      <w:r w:rsidRPr="00284F2A">
        <w:t xml:space="preserve">. Οι απαιτήσεις του </w:t>
      </w:r>
      <w:r w:rsidR="00284F2A">
        <w:t>αρ.</w:t>
      </w:r>
      <w:r w:rsidRPr="00284F2A">
        <w:t>119 (1) (</w:t>
      </w:r>
      <w:proofErr w:type="spellStart"/>
      <w:r w:rsidRPr="00284F2A">
        <w:t>ιγ</w:t>
      </w:r>
      <w:proofErr w:type="spellEnd"/>
      <w:r w:rsidRPr="00284F2A">
        <w:t xml:space="preserve">) του </w:t>
      </w:r>
      <w:r w:rsidR="00284F2A">
        <w:t>Κανονισμού</w:t>
      </w:r>
      <w:r w:rsidRPr="00284F2A">
        <w:t xml:space="preserve"> για τον ορισμό των ορίων ανταλλαγής ΕΑΣ μεταξύ των περιοχών ΕΦΣ μίας ενότητας ΕΦΣ μιας σύγχρονης περιοχής που περιλαμβάνει περισσότερες από μία ενότητες ΕΦΣ, που ορίζονται σύμφωνα με τα </w:t>
      </w:r>
      <w:r w:rsidR="00284F2A">
        <w:t>αρ.</w:t>
      </w:r>
      <w:r w:rsidRPr="00284F2A">
        <w:t xml:space="preserve">167 και 169 (2) του </w:t>
      </w:r>
      <w:r w:rsidR="00284F2A">
        <w:t>Κανονισμού</w:t>
      </w:r>
      <w:r w:rsidRPr="00284F2A">
        <w:t xml:space="preserve">, δεν θα αποτιμώνται σε </w:t>
      </w:r>
      <w:r w:rsidR="00171674" w:rsidRPr="00284F2A">
        <w:t xml:space="preserve">περίπτωση </w:t>
      </w:r>
      <w:r w:rsidRPr="00284F2A">
        <w:t>απουσία</w:t>
      </w:r>
      <w:r w:rsidR="00171674" w:rsidRPr="00284F2A">
        <w:t>ς</w:t>
      </w:r>
      <w:r w:rsidRPr="00284F2A">
        <w:t xml:space="preserve"> των </w:t>
      </w:r>
      <w:proofErr w:type="spellStart"/>
      <w:r w:rsidRPr="00284F2A">
        <w:t>πλατφορμών</w:t>
      </w:r>
      <w:proofErr w:type="spellEnd"/>
      <w:r w:rsidRPr="00284F2A">
        <w:t xml:space="preserve"> που αναφέρονται στα </w:t>
      </w:r>
      <w:r w:rsidR="00284F2A">
        <w:t>αρ.</w:t>
      </w:r>
      <w:r w:rsidRPr="00284F2A">
        <w:t xml:space="preserve">19, 20, 21 και 22 του </w:t>
      </w:r>
      <w:r w:rsidR="00284F2A">
        <w:t>Κανονισμού</w:t>
      </w:r>
      <w:r w:rsidRPr="00284F2A">
        <w:t xml:space="preserve">. Τυχόν όρια για την ανταλλαγή </w:t>
      </w:r>
      <w:r w:rsidR="00171674" w:rsidRPr="00284F2A">
        <w:t>εφεδρειών μπορούν να αναφέρονται σε</w:t>
      </w:r>
      <w:r w:rsidRPr="00284F2A">
        <w:t xml:space="preserve"> διμερείς συμφωνίες</w:t>
      </w:r>
      <w:r w:rsidR="00171674" w:rsidRPr="00284F2A">
        <w:t xml:space="preserve"> για τα οποία</w:t>
      </w:r>
      <w:r w:rsidRPr="00284F2A">
        <w:t xml:space="preserve"> ελέγχεται η ευθύνη του </w:t>
      </w:r>
      <w:r w:rsidR="00284F2A">
        <w:t>ΔΣΜ</w:t>
      </w:r>
      <w:r w:rsidRPr="00284F2A">
        <w:t xml:space="preserve">, η οποία  αντιστοιχεί σε μία μόνο περιοχή ΕΦΣ σύμφωνα με τα άρθρα 123, 124 και 126 του </w:t>
      </w:r>
      <w:r w:rsidR="00284F2A">
        <w:t>Κανονισμού</w:t>
      </w:r>
      <w:r w:rsidRPr="00284F2A">
        <w:t>.</w:t>
      </w:r>
    </w:p>
    <w:p w14:paraId="0C01C20B" w14:textId="4E0B165E" w:rsidR="00925476" w:rsidRPr="004B2276" w:rsidRDefault="00925476" w:rsidP="00925476">
      <w:pPr>
        <w:pStyle w:val="2"/>
      </w:pPr>
      <w:bookmarkStart w:id="23" w:name="_Toc51142279"/>
      <w:r w:rsidRPr="004B2276">
        <w:t xml:space="preserve">Άρθρο </w:t>
      </w:r>
      <w:r w:rsidR="007175F5">
        <w:t>16</w:t>
      </w:r>
      <w:r w:rsidRPr="004B2276">
        <w:t xml:space="preserve"> (αρ.119 (1) (</w:t>
      </w:r>
      <w:proofErr w:type="spellStart"/>
      <w:r w:rsidRPr="004B2276">
        <w:t>ιδ</w:t>
      </w:r>
      <w:proofErr w:type="spellEnd"/>
      <w:r w:rsidRPr="004B2276">
        <w:t>))</w:t>
      </w:r>
      <w:bookmarkEnd w:id="23"/>
    </w:p>
    <w:p w14:paraId="12381170" w14:textId="404DC34C" w:rsidR="00925476" w:rsidRPr="004B2276" w:rsidRDefault="00925476" w:rsidP="00E06B34">
      <w:r w:rsidRPr="004B2276">
        <w:t xml:space="preserve">Τα καθήκοντα και τις αρμοδιότητες των ΔΣΜ σύνδεσης εφεδρείας, των ΔΣΜ αποδεκτών εφεδρείας και των επηρεαζόμενων ΔΣΜ όσον αφορά την ανταλλαγή ΕΑΣ και/ή ΕΑ με ΔΣΜ άλλων ενοτήτων ΕΦΣ, που καθορίζονται σύμφωνα με το </w:t>
      </w:r>
      <w:r w:rsidR="00E02E88">
        <w:t>αρ.165(</w:t>
      </w:r>
      <w:r w:rsidRPr="004B2276">
        <w:t>6</w:t>
      </w:r>
      <w:r w:rsidR="00E02E88">
        <w:t>)</w:t>
      </w:r>
    </w:p>
    <w:p w14:paraId="1F7381FC" w14:textId="77777777" w:rsidR="004D360F" w:rsidRPr="004B2276" w:rsidRDefault="004D360F" w:rsidP="004D360F">
      <w:pPr>
        <w:pStyle w:val="a3"/>
        <w:numPr>
          <w:ilvl w:val="0"/>
          <w:numId w:val="2"/>
        </w:numPr>
        <w:rPr>
          <w:vanish/>
        </w:rPr>
      </w:pPr>
    </w:p>
    <w:p w14:paraId="4C3DF01F" w14:textId="593302BF" w:rsidR="00925476" w:rsidRPr="00E02E88" w:rsidRDefault="0000660E" w:rsidP="004D360F">
      <w:pPr>
        <w:pStyle w:val="a3"/>
        <w:numPr>
          <w:ilvl w:val="1"/>
          <w:numId w:val="2"/>
        </w:numPr>
      </w:pPr>
      <w:r w:rsidRPr="00E02E88">
        <w:t xml:space="preserve">Οι </w:t>
      </w:r>
      <w:r w:rsidR="004D360F" w:rsidRPr="00E02E88">
        <w:t xml:space="preserve">απαιτήσεις του </w:t>
      </w:r>
      <w:r w:rsidR="00E02E88" w:rsidRPr="00E02E88">
        <w:t>αρ.</w:t>
      </w:r>
      <w:r w:rsidR="004D360F" w:rsidRPr="00E02E88">
        <w:t>119 (1) (</w:t>
      </w:r>
      <w:proofErr w:type="spellStart"/>
      <w:r w:rsidR="004D360F" w:rsidRPr="00E02E88">
        <w:t>ιδ</w:t>
      </w:r>
      <w:proofErr w:type="spellEnd"/>
      <w:r w:rsidRPr="00E02E88">
        <w:t xml:space="preserve">) του </w:t>
      </w:r>
      <w:r w:rsidR="002E22E8">
        <w:t>Κανονισμού</w:t>
      </w:r>
      <w:r w:rsidRPr="00E02E88">
        <w:t xml:space="preserve">, δεν </w:t>
      </w:r>
      <w:r w:rsidR="00C84BB9">
        <w:t>μπορούν να εφαρμοστούν</w:t>
      </w:r>
      <w:r w:rsidR="004D360F" w:rsidRPr="00E02E88">
        <w:t xml:space="preserve"> </w:t>
      </w:r>
      <w:r w:rsidR="00DC6889" w:rsidRPr="00E02E88">
        <w:t>λόγω</w:t>
      </w:r>
      <w:r w:rsidRPr="00E02E88">
        <w:t xml:space="preserve"> απουσία</w:t>
      </w:r>
      <w:r w:rsidR="00DC6889" w:rsidRPr="00E02E88">
        <w:t>ς</w:t>
      </w:r>
      <w:r w:rsidRPr="00E02E88">
        <w:t xml:space="preserve"> </w:t>
      </w:r>
      <w:proofErr w:type="spellStart"/>
      <w:r w:rsidRPr="00E02E88">
        <w:t>πλατφορμών</w:t>
      </w:r>
      <w:proofErr w:type="spellEnd"/>
      <w:r w:rsidRPr="00E02E88">
        <w:t xml:space="preserve"> </w:t>
      </w:r>
      <w:r w:rsidR="004D360F" w:rsidRPr="00E02E88">
        <w:t xml:space="preserve">όπως </w:t>
      </w:r>
      <w:r w:rsidRPr="00E02E88">
        <w:t xml:space="preserve">αναφέρονται στα </w:t>
      </w:r>
      <w:proofErr w:type="spellStart"/>
      <w:r w:rsidR="002E22E8">
        <w:t>αρ</w:t>
      </w:r>
      <w:proofErr w:type="spellEnd"/>
      <w:r w:rsidR="002E22E8">
        <w:t>.</w:t>
      </w:r>
      <w:r w:rsidRPr="00E02E88">
        <w:t xml:space="preserve"> 19, 20, 21 και 22 του </w:t>
      </w:r>
      <w:r w:rsidR="002E22E8">
        <w:t>Κανονισμού</w:t>
      </w:r>
      <w:r w:rsidR="004D360F" w:rsidRPr="00E02E88">
        <w:t xml:space="preserve">. </w:t>
      </w:r>
      <w:proofErr w:type="spellStart"/>
      <w:r w:rsidR="004D360F" w:rsidRPr="00E02E88">
        <w:t>Αντ’αυτού</w:t>
      </w:r>
      <w:proofErr w:type="spellEnd"/>
      <w:r w:rsidRPr="00E02E88">
        <w:t xml:space="preserve"> </w:t>
      </w:r>
      <w:r w:rsidR="004D360F" w:rsidRPr="00E02E88">
        <w:t xml:space="preserve">δύνανται να εφαρμόζονται </w:t>
      </w:r>
      <w:r w:rsidRPr="00E02E88">
        <w:t xml:space="preserve">διμερείς συμφωνίες ανταλλαγής με ΔΣΜ άλλων </w:t>
      </w:r>
      <w:r w:rsidR="004D360F" w:rsidRPr="00E02E88">
        <w:t>περιοχών ΕΦΣ</w:t>
      </w:r>
      <w:r w:rsidRPr="00E02E88">
        <w:t xml:space="preserve">, </w:t>
      </w:r>
      <w:r w:rsidR="004D360F" w:rsidRPr="00E02E88">
        <w:t>για τ</w:t>
      </w:r>
      <w:r w:rsidR="00DC6889" w:rsidRPr="00E02E88">
        <w:t>ις</w:t>
      </w:r>
      <w:r w:rsidR="004D360F" w:rsidRPr="00E02E88">
        <w:t xml:space="preserve"> </w:t>
      </w:r>
      <w:r w:rsidR="00DC6889" w:rsidRPr="00E02E88">
        <w:t>οποίες</w:t>
      </w:r>
      <w:r w:rsidR="004D360F" w:rsidRPr="00E02E88">
        <w:t xml:space="preserve"> ελέγχεται η ευθύνη του </w:t>
      </w:r>
      <w:r w:rsidR="002E22E8">
        <w:t>ΔΣΜ</w:t>
      </w:r>
      <w:r w:rsidR="004D360F" w:rsidRPr="00E02E88">
        <w:t xml:space="preserve">, η οποία  αντιστοιχεί σε μία μόνο περιοχή ΕΦΣ σύμφωνα με τα </w:t>
      </w:r>
      <w:r w:rsidR="002E22E8">
        <w:t>αρ.</w:t>
      </w:r>
      <w:r w:rsidR="004D360F" w:rsidRPr="00E02E88">
        <w:t xml:space="preserve">123, 124 και 126 του </w:t>
      </w:r>
      <w:r w:rsidR="002E22E8">
        <w:t>Κανονισμού</w:t>
      </w:r>
      <w:r w:rsidR="004D360F" w:rsidRPr="00E02E88">
        <w:t>.</w:t>
      </w:r>
    </w:p>
    <w:p w14:paraId="28C0B330" w14:textId="6F30CEA6" w:rsidR="006B13DC" w:rsidRPr="004B2276" w:rsidRDefault="006B13DC" w:rsidP="006B13DC">
      <w:pPr>
        <w:pStyle w:val="2"/>
      </w:pPr>
      <w:bookmarkStart w:id="24" w:name="_Toc51142280"/>
      <w:r w:rsidRPr="004B2276">
        <w:t xml:space="preserve">Άρθρο </w:t>
      </w:r>
      <w:r w:rsidR="007175F5">
        <w:t>17</w:t>
      </w:r>
      <w:r w:rsidRPr="004B2276">
        <w:t xml:space="preserve"> (αρ.119 (1) (</w:t>
      </w:r>
      <w:proofErr w:type="spellStart"/>
      <w:r w:rsidRPr="004B2276">
        <w:t>ιε</w:t>
      </w:r>
      <w:proofErr w:type="spellEnd"/>
      <w:r w:rsidRPr="004B2276">
        <w:t>))</w:t>
      </w:r>
      <w:bookmarkEnd w:id="24"/>
    </w:p>
    <w:p w14:paraId="6EF1B5F3" w14:textId="4E9AC5CC" w:rsidR="004D360F" w:rsidRPr="004B2276" w:rsidRDefault="006B13DC" w:rsidP="00E06B34">
      <w:r w:rsidRPr="004B2276">
        <w:t>Τα καθήκοντα και τις αρμοδιότητες των ΔΣΜ παροχής ικανότητας ελέγχου, των ΔΣΜ λήψης ικανότητας ελέγχου και των επηρεαζόμενων ΔΣΜ για τον καταμερισμό ΕΑΣ και ΕΑ, που καθορίζονται σύμφωνα με το άρθρο 166 παράγραφος 7</w:t>
      </w:r>
    </w:p>
    <w:p w14:paraId="1A96CA5D" w14:textId="77777777" w:rsidR="006B13DC" w:rsidRPr="004B2276" w:rsidRDefault="006B13DC" w:rsidP="006B13DC">
      <w:pPr>
        <w:pStyle w:val="a3"/>
        <w:numPr>
          <w:ilvl w:val="0"/>
          <w:numId w:val="2"/>
        </w:numPr>
        <w:rPr>
          <w:vanish/>
        </w:rPr>
      </w:pPr>
    </w:p>
    <w:p w14:paraId="22A2F0AA" w14:textId="46EE7711" w:rsidR="006B13DC" w:rsidRPr="002E22E8" w:rsidRDefault="006B13DC" w:rsidP="006B13DC">
      <w:pPr>
        <w:pStyle w:val="a3"/>
        <w:numPr>
          <w:ilvl w:val="1"/>
          <w:numId w:val="2"/>
        </w:numPr>
      </w:pPr>
      <w:r w:rsidRPr="002E22E8">
        <w:t xml:space="preserve">Οι απαιτήσεις του </w:t>
      </w:r>
      <w:r w:rsidR="002E22E8" w:rsidRPr="002E22E8">
        <w:t>αρ.</w:t>
      </w:r>
      <w:r w:rsidRPr="002E22E8">
        <w:t>119 (1) (</w:t>
      </w:r>
      <w:proofErr w:type="spellStart"/>
      <w:r w:rsidRPr="002E22E8">
        <w:t>ιε</w:t>
      </w:r>
      <w:proofErr w:type="spellEnd"/>
      <w:r w:rsidRPr="002E22E8">
        <w:t xml:space="preserve">) του </w:t>
      </w:r>
      <w:r w:rsidR="002E22E8" w:rsidRPr="002E22E8">
        <w:t>Κανονισμού</w:t>
      </w:r>
      <w:r w:rsidRPr="002E22E8">
        <w:t xml:space="preserve"> σχετικά με τον ορισμό καθηκόντων και αρμοδιοτήτων των ΔΣΜ παροχής ικανότητας ελέγχου, των ΔΣΜ λήψης ικανότητας ελέγχου και των επηρεαζόμενων ΔΣΜ για τον καταμερισμό ΕΑΣ και ΕΑ του </w:t>
      </w:r>
      <w:r w:rsidR="002E22E8">
        <w:t>Κανονισμού</w:t>
      </w:r>
      <w:r w:rsidR="00EB6772" w:rsidRPr="002E22E8">
        <w:t>, το παρόν δεν βρίσκει</w:t>
      </w:r>
      <w:r w:rsidRPr="002E22E8">
        <w:t xml:space="preserve"> εφαρμογή δεδομένης της απουσίας κοινής χρήσης των </w:t>
      </w:r>
      <w:r w:rsidR="0035444A" w:rsidRPr="002E22E8">
        <w:t xml:space="preserve">ΕΑΣ </w:t>
      </w:r>
      <w:r w:rsidRPr="002E22E8">
        <w:t xml:space="preserve">και </w:t>
      </w:r>
      <w:r w:rsidR="0035444A" w:rsidRPr="002E22E8">
        <w:t xml:space="preserve">ΕΑ </w:t>
      </w:r>
      <w:r w:rsidRPr="002E22E8">
        <w:t xml:space="preserve">μεταξύ </w:t>
      </w:r>
      <w:r w:rsidR="002E22E8">
        <w:t>ΔΣΜ</w:t>
      </w:r>
      <w:r w:rsidRPr="002E22E8">
        <w:t xml:space="preserve"> και των άλλων </w:t>
      </w:r>
      <w:r w:rsidR="0035444A" w:rsidRPr="002E22E8">
        <w:t>ΔΣΜ ΕΦΣ</w:t>
      </w:r>
      <w:r w:rsidRPr="002E22E8">
        <w:t xml:space="preserve"> </w:t>
      </w:r>
      <w:r w:rsidR="00E62B3D" w:rsidRPr="002E22E8">
        <w:t xml:space="preserve">σε περιοχές εντός </w:t>
      </w:r>
      <w:r w:rsidRPr="002E22E8">
        <w:t xml:space="preserve">της σύγχρονης </w:t>
      </w:r>
      <w:r w:rsidR="002E22E8">
        <w:t>ΗΕ</w:t>
      </w:r>
      <w:r w:rsidRPr="002E22E8">
        <w:t>.</w:t>
      </w:r>
    </w:p>
    <w:p w14:paraId="5FBB20E9" w14:textId="29903779" w:rsidR="00177AD7" w:rsidRPr="004B2276" w:rsidRDefault="00177AD7" w:rsidP="00177AD7">
      <w:pPr>
        <w:pStyle w:val="2"/>
      </w:pPr>
      <w:bookmarkStart w:id="25" w:name="_Toc51142281"/>
      <w:r w:rsidRPr="004B2276">
        <w:t xml:space="preserve">Άρθρο </w:t>
      </w:r>
      <w:r w:rsidR="007175F5">
        <w:t>18</w:t>
      </w:r>
      <w:r w:rsidRPr="004B2276">
        <w:t xml:space="preserve"> (αρ.119 (1) (</w:t>
      </w:r>
      <w:proofErr w:type="spellStart"/>
      <w:r w:rsidRPr="004B2276">
        <w:t>ιστ</w:t>
      </w:r>
      <w:proofErr w:type="spellEnd"/>
      <w:r w:rsidRPr="004B2276">
        <w:t>))</w:t>
      </w:r>
      <w:bookmarkEnd w:id="25"/>
    </w:p>
    <w:p w14:paraId="75447EA3" w14:textId="76FD1E24" w:rsidR="00177AD7" w:rsidRPr="004B2276" w:rsidRDefault="00D40437" w:rsidP="00E06B34">
      <w:r w:rsidRPr="004B2276">
        <w:t xml:space="preserve">Τα καθήκοντα και τις αρμοδιότητες των ΔΣΜ παροχής ικανότητας ελέγχου, των ΔΣΜ λήψης ικανότητας ελέγχου και των επηρεαζόμενων ΔΣΜ για τον καταμερισμό ΕΑΣ και/ή ΕΑ μεταξύ συγχρονισμένων περιοχών, σύμφωνα με το </w:t>
      </w:r>
      <w:r w:rsidR="006E52E0">
        <w:t>αρ.</w:t>
      </w:r>
      <w:r w:rsidRPr="004B2276">
        <w:t xml:space="preserve">175 </w:t>
      </w:r>
      <w:r w:rsidR="003045FC" w:rsidRPr="004B2276">
        <w:t>(</w:t>
      </w:r>
      <w:r w:rsidRPr="004B2276">
        <w:t>2</w:t>
      </w:r>
      <w:r w:rsidR="003045FC" w:rsidRPr="004B2276">
        <w:t>)</w:t>
      </w:r>
    </w:p>
    <w:p w14:paraId="198A9DA9" w14:textId="77777777" w:rsidR="00E62B3D" w:rsidRPr="004B2276" w:rsidRDefault="00E62B3D" w:rsidP="00E62B3D">
      <w:pPr>
        <w:pStyle w:val="a3"/>
        <w:numPr>
          <w:ilvl w:val="0"/>
          <w:numId w:val="2"/>
        </w:numPr>
        <w:rPr>
          <w:vanish/>
        </w:rPr>
      </w:pPr>
    </w:p>
    <w:p w14:paraId="4627FC4A" w14:textId="3172D4B2" w:rsidR="00D40437" w:rsidRPr="004B2276" w:rsidRDefault="00E62B3D" w:rsidP="00E62B3D">
      <w:pPr>
        <w:pStyle w:val="a3"/>
        <w:numPr>
          <w:ilvl w:val="1"/>
          <w:numId w:val="2"/>
        </w:numPr>
      </w:pPr>
      <w:r w:rsidRPr="004B2276">
        <w:t xml:space="preserve">Οι απαιτήσεις του </w:t>
      </w:r>
      <w:r w:rsidR="006E52E0">
        <w:t>αρ.</w:t>
      </w:r>
      <w:r w:rsidRPr="004B2276">
        <w:t>119 (1) (</w:t>
      </w:r>
      <w:proofErr w:type="spellStart"/>
      <w:r w:rsidRPr="004B2276">
        <w:t>ιστ</w:t>
      </w:r>
      <w:proofErr w:type="spellEnd"/>
      <w:r w:rsidRPr="004B2276">
        <w:t xml:space="preserve">) του </w:t>
      </w:r>
      <w:r w:rsidR="006E52E0">
        <w:t>Κανονισμού</w:t>
      </w:r>
      <w:r w:rsidRPr="004B2276">
        <w:t xml:space="preserve"> σχετικά με τον ορισμό καθηκόντων και αρμοδιοτήτων των ΔΣΜ παροχής ικανότητας ελέγχου, των ΔΣΜ λήψης ικανότητας ελέγχου και των επηρεαζόμενων ΔΣΜ για τον καταμερισμό ΕΑΣ </w:t>
      </w:r>
      <w:r w:rsidRPr="004B2276">
        <w:lastRenderedPageBreak/>
        <w:t xml:space="preserve">και ΕΑ μεταξύ συγχρονισμένων περιοχών, σύμφωνα με το </w:t>
      </w:r>
      <w:r w:rsidR="006E52E0">
        <w:t>αρ.</w:t>
      </w:r>
      <w:r w:rsidRPr="004B2276">
        <w:t xml:space="preserve">175 </w:t>
      </w:r>
      <w:r w:rsidR="00AF58EA" w:rsidRPr="004B2276">
        <w:t>(</w:t>
      </w:r>
      <w:r w:rsidRPr="004B2276">
        <w:t>2</w:t>
      </w:r>
      <w:r w:rsidR="00AF58EA" w:rsidRPr="004B2276">
        <w:t>)</w:t>
      </w:r>
      <w:r w:rsidRPr="004B2276">
        <w:t xml:space="preserve"> του </w:t>
      </w:r>
      <w:r w:rsidR="006E52E0">
        <w:t>Κανονισμού</w:t>
      </w:r>
      <w:r w:rsidRPr="004B2276">
        <w:t xml:space="preserve">, το παρόν δεν βρίσκει εφαρμογή δεδομένης της απουσίας κοινής χρήσης των ΕΑΣ και ΕΑ μεταξύ </w:t>
      </w:r>
      <w:r w:rsidR="006E52E0">
        <w:t>ΔΣΜ</w:t>
      </w:r>
      <w:r w:rsidRPr="004B2276">
        <w:t xml:space="preserve"> και των άλλων ΔΣΜ</w:t>
      </w:r>
      <w:r w:rsidR="00342584" w:rsidRPr="004B2276">
        <w:t xml:space="preserve"> ενοτήτων</w:t>
      </w:r>
      <w:r w:rsidRPr="004B2276">
        <w:t xml:space="preserve"> ΕΦΣ σε περιοχές εκτός της σύγχρονης </w:t>
      </w:r>
      <w:r w:rsidR="00342584" w:rsidRPr="004B2276">
        <w:t>ΗΕ</w:t>
      </w:r>
      <w:r w:rsidRPr="004B2276">
        <w:t>.</w:t>
      </w:r>
    </w:p>
    <w:p w14:paraId="2CB65A03" w14:textId="162E88BE" w:rsidR="00131EB9" w:rsidRPr="004B2276" w:rsidRDefault="00131EB9" w:rsidP="00131EB9">
      <w:pPr>
        <w:pStyle w:val="2"/>
      </w:pPr>
      <w:bookmarkStart w:id="26" w:name="_Toc51142282"/>
      <w:r w:rsidRPr="004B2276">
        <w:t>Όροι και προϋποθέσεις για το μέρος Α και το μέρος Β</w:t>
      </w:r>
      <w:bookmarkEnd w:id="26"/>
    </w:p>
    <w:p w14:paraId="1240AC2E" w14:textId="332216B1" w:rsidR="00725135" w:rsidRPr="004B2276" w:rsidRDefault="00725135" w:rsidP="00725135">
      <w:pPr>
        <w:pStyle w:val="2"/>
      </w:pPr>
      <w:bookmarkStart w:id="27" w:name="_Toc51142283"/>
      <w:r w:rsidRPr="004B2276">
        <w:t>Χρονικό πλαίσιο εφαρμογής</w:t>
      </w:r>
      <w:bookmarkEnd w:id="27"/>
      <w:r w:rsidRPr="004B2276">
        <w:t xml:space="preserve"> </w:t>
      </w:r>
    </w:p>
    <w:p w14:paraId="49CF1D01" w14:textId="77777777" w:rsidR="00725135" w:rsidRPr="004B2276" w:rsidRDefault="00725135" w:rsidP="00725135">
      <w:pPr>
        <w:pStyle w:val="a3"/>
        <w:numPr>
          <w:ilvl w:val="0"/>
          <w:numId w:val="2"/>
        </w:numPr>
        <w:rPr>
          <w:vanish/>
        </w:rPr>
      </w:pPr>
    </w:p>
    <w:p w14:paraId="2A715AD7" w14:textId="40765EDF" w:rsidR="00131EB9" w:rsidRPr="004B2276" w:rsidRDefault="00725135" w:rsidP="00CF54E5">
      <w:pPr>
        <w:pStyle w:val="a3"/>
        <w:ind w:left="360"/>
      </w:pPr>
      <w:r w:rsidRPr="004B2276">
        <w:t xml:space="preserve">Το ελάχιστο χρονικό πλαίσιο με το οποίο θα εφαρμοστεί η παρούσα μεθοδολογία </w:t>
      </w:r>
      <w:proofErr w:type="spellStart"/>
      <w:r w:rsidRPr="004B2276">
        <w:t>διαστασιολόγησης</w:t>
      </w:r>
      <w:proofErr w:type="spellEnd"/>
      <w:r w:rsidRPr="004B2276">
        <w:t xml:space="preserve"> ΕΑΣ και ΕΑ θα συμμορφώνεται με τα χρονοδιαγράμματα που υπαγορεύει το άρθρο 128 του </w:t>
      </w:r>
      <w:r w:rsidR="00AB5F10">
        <w:t>Κανονισμού</w:t>
      </w:r>
      <w:r w:rsidRPr="004B2276">
        <w:t>. Η μεθοδολογία αντανακλά τις παραμέτρους που θα πρέπει να λαμβάνονται υπόψη κατά τον προσδιορισμό των προϊόντων εφεδρείας ισχύος στο Ελληνικό Διασυνδεδεμένο Σύστημα και εναρμονίζεται με το Ευρωπαϊκό και Ελληνικό ρυθμιστικό πλαίσιο. Είναι σαφές ότι η με</w:t>
      </w:r>
      <w:r w:rsidR="00AB5F10">
        <w:t>θοδολογία ενδέχεται να ανα</w:t>
      </w:r>
      <w:r w:rsidRPr="004B2276">
        <w:t xml:space="preserve">θεωρηθεί προϊόντος του χρόνου και με βάση την </w:t>
      </w:r>
      <w:proofErr w:type="spellStart"/>
      <w:r w:rsidRPr="004B2276">
        <w:t>κτηθησόμενη</w:t>
      </w:r>
      <w:proofErr w:type="spellEnd"/>
      <w:r w:rsidRPr="004B2276">
        <w:t xml:space="preserve"> εμπειρία από τη λειτουργία της αγοράς εξισορρόπησης.</w:t>
      </w:r>
    </w:p>
    <w:sectPr w:rsidR="00131EB9" w:rsidRPr="004B2276">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03B87" w14:textId="77777777" w:rsidR="00B21B85" w:rsidRDefault="00B21B85" w:rsidP="00147D62">
      <w:pPr>
        <w:spacing w:after="0" w:line="240" w:lineRule="auto"/>
      </w:pPr>
      <w:r>
        <w:separator/>
      </w:r>
    </w:p>
  </w:endnote>
  <w:endnote w:type="continuationSeparator" w:id="0">
    <w:p w14:paraId="687CCD71" w14:textId="77777777" w:rsidR="00B21B85" w:rsidRDefault="00B21B85" w:rsidP="0014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4B69" w14:textId="77777777" w:rsidR="00AE6983" w:rsidRDefault="00AE6983" w:rsidP="00147D62">
    <w:pPr>
      <w:pBdr>
        <w:top w:val="single" w:sz="4" w:space="0" w:color="auto"/>
      </w:pBdr>
      <w:spacing w:after="0" w:line="240" w:lineRule="auto"/>
      <w:ind w:left="547"/>
      <w:contextualSpacing/>
      <w:rPr>
        <w:rFonts w:cs="Tahoma"/>
        <w:b/>
        <w:color w:val="595959"/>
        <w:sz w:val="16"/>
        <w:szCs w:val="16"/>
      </w:rPr>
    </w:pPr>
  </w:p>
  <w:p w14:paraId="5877E4F2" w14:textId="77777777" w:rsidR="00AE6983" w:rsidRPr="005B2D7E" w:rsidRDefault="00AE6983" w:rsidP="00147D62">
    <w:pPr>
      <w:pBdr>
        <w:top w:val="single" w:sz="4" w:space="0" w:color="auto"/>
      </w:pBdr>
      <w:spacing w:after="0" w:line="240" w:lineRule="auto"/>
      <w:ind w:left="547"/>
      <w:contextualSpacing/>
      <w:rPr>
        <w:rFonts w:cs="Tahoma"/>
        <w:b/>
        <w:color w:val="595959"/>
        <w:sz w:val="16"/>
        <w:szCs w:val="16"/>
      </w:rPr>
    </w:pPr>
    <w:r w:rsidRPr="005B2D7E">
      <w:rPr>
        <w:rFonts w:cs="Tahoma"/>
        <w:b/>
        <w:color w:val="595959"/>
        <w:sz w:val="16"/>
        <w:szCs w:val="16"/>
      </w:rPr>
      <w:t>ΑΝΕΞ</w:t>
    </w:r>
    <w:r w:rsidRPr="00803977">
      <w:rPr>
        <w:rFonts w:cs="Tahoma"/>
        <w:b/>
        <w:color w:val="595959"/>
        <w:sz w:val="16"/>
        <w:szCs w:val="16"/>
      </w:rPr>
      <w:t>A</w:t>
    </w:r>
    <w:r w:rsidRPr="005B2D7E">
      <w:rPr>
        <w:rFonts w:cs="Tahoma"/>
        <w:b/>
        <w:color w:val="595959"/>
        <w:sz w:val="16"/>
        <w:szCs w:val="16"/>
      </w:rPr>
      <w:t>ΡΤΗΤΟΣ ΔΙΑΧΕΙΡΙΣΤΉΣ ΜΕΤΑΦΟΡ</w:t>
    </w:r>
    <w:r w:rsidRPr="00803977">
      <w:rPr>
        <w:rFonts w:cs="Tahoma"/>
        <w:b/>
        <w:color w:val="595959"/>
        <w:sz w:val="16"/>
        <w:szCs w:val="16"/>
      </w:rPr>
      <w:t>A</w:t>
    </w:r>
    <w:r w:rsidRPr="005B2D7E">
      <w:rPr>
        <w:rFonts w:cs="Tahoma"/>
        <w:b/>
        <w:color w:val="595959"/>
        <w:sz w:val="16"/>
        <w:szCs w:val="16"/>
      </w:rPr>
      <w:t>Σ ΗΛΕΚΤΡΙΚ</w:t>
    </w:r>
    <w:r w:rsidRPr="00803977">
      <w:rPr>
        <w:rFonts w:cs="Tahoma"/>
        <w:b/>
        <w:color w:val="595959"/>
        <w:sz w:val="16"/>
        <w:szCs w:val="16"/>
      </w:rPr>
      <w:t>H</w:t>
    </w:r>
    <w:r w:rsidRPr="005B2D7E">
      <w:rPr>
        <w:rFonts w:cs="Tahoma"/>
        <w:b/>
        <w:color w:val="595959"/>
        <w:sz w:val="16"/>
        <w:szCs w:val="16"/>
      </w:rPr>
      <w:t>Σ ΕΝ</w:t>
    </w:r>
    <w:r w:rsidRPr="00803977">
      <w:rPr>
        <w:rFonts w:cs="Tahoma"/>
        <w:b/>
        <w:color w:val="595959"/>
        <w:sz w:val="16"/>
        <w:szCs w:val="16"/>
      </w:rPr>
      <w:t>E</w:t>
    </w:r>
    <w:r w:rsidRPr="005B2D7E">
      <w:rPr>
        <w:rFonts w:cs="Tahoma"/>
        <w:b/>
        <w:color w:val="595959"/>
        <w:sz w:val="16"/>
        <w:szCs w:val="16"/>
      </w:rPr>
      <w:t>ΡΓΕΙΑΣ Α.Ε.</w:t>
    </w:r>
  </w:p>
  <w:p w14:paraId="0A96EC10" w14:textId="77777777" w:rsidR="00AE6983" w:rsidRPr="005B2D7E" w:rsidRDefault="00AE6983" w:rsidP="00147D62">
    <w:pPr>
      <w:spacing w:after="0" w:line="240" w:lineRule="auto"/>
      <w:ind w:left="547" w:right="-401"/>
      <w:contextualSpacing/>
      <w:rPr>
        <w:rFonts w:cs="Tahoma"/>
        <w:color w:val="595959"/>
        <w:sz w:val="16"/>
        <w:szCs w:val="16"/>
      </w:rPr>
    </w:pPr>
    <w:r w:rsidRPr="005B2D7E">
      <w:rPr>
        <w:rFonts w:cs="Tahoma"/>
        <w:color w:val="595959"/>
        <w:sz w:val="16"/>
        <w:szCs w:val="16"/>
      </w:rPr>
      <w:t>ΓΕΝΙΚΗ ΔΙΕΥΘΥΝΣΗ ΤΕΧΝΟΛΟΓ</w:t>
    </w:r>
    <w:r w:rsidRPr="00803977">
      <w:rPr>
        <w:rFonts w:cs="Tahoma"/>
        <w:color w:val="595959"/>
        <w:sz w:val="16"/>
        <w:szCs w:val="16"/>
      </w:rPr>
      <w:t>I</w:t>
    </w:r>
    <w:r w:rsidRPr="005B2D7E">
      <w:rPr>
        <w:rFonts w:cs="Tahoma"/>
        <w:color w:val="595959"/>
        <w:sz w:val="16"/>
        <w:szCs w:val="16"/>
      </w:rPr>
      <w:t>ΑΣ, ΑΝ</w:t>
    </w:r>
    <w:r w:rsidRPr="00803977">
      <w:rPr>
        <w:rFonts w:cs="Tahoma"/>
        <w:color w:val="595959"/>
        <w:sz w:val="16"/>
        <w:szCs w:val="16"/>
      </w:rPr>
      <w:t>A</w:t>
    </w:r>
    <w:r w:rsidRPr="005B2D7E">
      <w:rPr>
        <w:rFonts w:cs="Tahoma"/>
        <w:color w:val="595959"/>
        <w:sz w:val="16"/>
        <w:szCs w:val="16"/>
      </w:rPr>
      <w:t>ΠΤΥΞΗΣ ΣΥΣΤ</w:t>
    </w:r>
    <w:r w:rsidRPr="00803977">
      <w:rPr>
        <w:rFonts w:cs="Tahoma"/>
        <w:color w:val="595959"/>
        <w:sz w:val="16"/>
        <w:szCs w:val="16"/>
      </w:rPr>
      <w:t>H</w:t>
    </w:r>
    <w:r w:rsidRPr="005B2D7E">
      <w:rPr>
        <w:rFonts w:cs="Tahoma"/>
        <w:color w:val="595959"/>
        <w:sz w:val="16"/>
        <w:szCs w:val="16"/>
      </w:rPr>
      <w:t>ΜΑΤΟΣ &amp; ΣΤΡΑΤΗΓΙΚ</w:t>
    </w:r>
    <w:r w:rsidRPr="00803977">
      <w:rPr>
        <w:rFonts w:cs="Tahoma"/>
        <w:color w:val="595959"/>
        <w:sz w:val="16"/>
        <w:szCs w:val="16"/>
      </w:rPr>
      <w:t>H</w:t>
    </w:r>
    <w:r w:rsidRPr="005B2D7E">
      <w:rPr>
        <w:rFonts w:cs="Tahoma"/>
        <w:color w:val="595959"/>
        <w:sz w:val="16"/>
        <w:szCs w:val="16"/>
      </w:rPr>
      <w:t>Σ</w:t>
    </w:r>
  </w:p>
  <w:p w14:paraId="5AEAD49D" w14:textId="77777777" w:rsidR="00AE6983" w:rsidRPr="005B2D7E" w:rsidRDefault="00AE6983" w:rsidP="00147D62">
    <w:pPr>
      <w:spacing w:after="0" w:line="240" w:lineRule="auto"/>
      <w:ind w:left="547" w:right="-401"/>
      <w:contextualSpacing/>
      <w:rPr>
        <w:rFonts w:cs="Tahoma"/>
        <w:color w:val="595959"/>
        <w:sz w:val="16"/>
        <w:szCs w:val="16"/>
      </w:rPr>
    </w:pPr>
    <w:r w:rsidRPr="005B2D7E">
      <w:rPr>
        <w:rFonts w:cs="Tahoma"/>
        <w:color w:val="595959"/>
        <w:sz w:val="16"/>
        <w:szCs w:val="16"/>
      </w:rPr>
      <w:t>ΔΙΕΥΘΥΝΣΗ ΣΤΡΑΤΗΓΙΚ</w:t>
    </w:r>
    <w:r w:rsidRPr="00803977">
      <w:rPr>
        <w:rFonts w:cs="Tahoma"/>
        <w:color w:val="595959"/>
        <w:sz w:val="16"/>
        <w:szCs w:val="16"/>
      </w:rPr>
      <w:t>H</w:t>
    </w:r>
    <w:r w:rsidRPr="005B2D7E">
      <w:rPr>
        <w:rFonts w:cs="Tahoma"/>
        <w:color w:val="595959"/>
        <w:sz w:val="16"/>
        <w:szCs w:val="16"/>
      </w:rPr>
      <w:t>Σ &amp; ΣΧΕΔΙΑΣΜΟ</w:t>
    </w:r>
    <w:r w:rsidRPr="00803977">
      <w:rPr>
        <w:rFonts w:cs="Tahoma"/>
        <w:color w:val="595959"/>
        <w:sz w:val="16"/>
        <w:szCs w:val="16"/>
      </w:rPr>
      <w:t>Y</w:t>
    </w:r>
    <w:r w:rsidRPr="005B2D7E">
      <w:rPr>
        <w:rFonts w:cs="Tahoma"/>
        <w:color w:val="595959"/>
        <w:sz w:val="16"/>
        <w:szCs w:val="16"/>
      </w:rPr>
      <w:t xml:space="preserve"> ΑΝ</w:t>
    </w:r>
    <w:r w:rsidRPr="00803977">
      <w:rPr>
        <w:rFonts w:cs="Tahoma"/>
        <w:color w:val="595959"/>
        <w:sz w:val="16"/>
        <w:szCs w:val="16"/>
      </w:rPr>
      <w:t>A</w:t>
    </w:r>
    <w:r w:rsidRPr="005B2D7E">
      <w:rPr>
        <w:rFonts w:cs="Tahoma"/>
        <w:color w:val="595959"/>
        <w:sz w:val="16"/>
        <w:szCs w:val="16"/>
      </w:rPr>
      <w:t>ΠΤΥΞΗΣ ΣΥΣΤ</w:t>
    </w:r>
    <w:r w:rsidRPr="00803977">
      <w:rPr>
        <w:rFonts w:cs="Tahoma"/>
        <w:color w:val="595959"/>
        <w:sz w:val="16"/>
        <w:szCs w:val="16"/>
      </w:rPr>
      <w:t>H</w:t>
    </w:r>
    <w:r w:rsidRPr="005B2D7E">
      <w:rPr>
        <w:rFonts w:cs="Tahoma"/>
        <w:color w:val="595959"/>
        <w:sz w:val="16"/>
        <w:szCs w:val="16"/>
      </w:rPr>
      <w:t>ΜΑΤΟΣ</w:t>
    </w:r>
  </w:p>
  <w:p w14:paraId="7DEB6AB7" w14:textId="77777777" w:rsidR="00AE6983" w:rsidRPr="005B2D7E" w:rsidRDefault="00AE6983" w:rsidP="00147D62">
    <w:pPr>
      <w:spacing w:before="80" w:after="0" w:line="240" w:lineRule="auto"/>
      <w:ind w:left="547" w:right="-403"/>
      <w:rPr>
        <w:rFonts w:cs="Tahoma"/>
        <w:color w:val="595959"/>
        <w:sz w:val="18"/>
        <w:szCs w:val="18"/>
      </w:rPr>
    </w:pPr>
    <w:r w:rsidRPr="005B2D7E">
      <w:rPr>
        <w:rFonts w:cs="Tahoma"/>
        <w:color w:val="595959"/>
        <w:sz w:val="18"/>
        <w:szCs w:val="18"/>
      </w:rPr>
      <w:t xml:space="preserve">Δυρραχίου 89 &amp; Κηφισού, 104 43 Αθήνα Τ 210 519 2402 </w:t>
    </w:r>
    <w:r w:rsidRPr="00226D61">
      <w:rPr>
        <w:rFonts w:cs="Tahoma"/>
        <w:color w:val="595959"/>
        <w:sz w:val="18"/>
        <w:szCs w:val="18"/>
      </w:rPr>
      <w:t>W</w:t>
    </w:r>
    <w:r w:rsidRPr="005B2D7E">
      <w:rPr>
        <w:rFonts w:cs="Tahoma"/>
        <w:color w:val="595959"/>
        <w:sz w:val="18"/>
        <w:szCs w:val="18"/>
      </w:rPr>
      <w:t xml:space="preserve"> </w:t>
    </w:r>
    <w:hyperlink r:id="rId1" w:history="1">
      <w:r w:rsidRPr="00226D61">
        <w:rPr>
          <w:rStyle w:val="-"/>
          <w:rFonts w:cs="Tahoma"/>
          <w:color w:val="595959"/>
          <w:sz w:val="18"/>
          <w:szCs w:val="18"/>
        </w:rPr>
        <w:t>www</w:t>
      </w:r>
      <w:r w:rsidRPr="005B2D7E">
        <w:rPr>
          <w:rStyle w:val="-"/>
          <w:rFonts w:cs="Tahoma"/>
          <w:color w:val="595959"/>
          <w:sz w:val="18"/>
          <w:szCs w:val="18"/>
        </w:rPr>
        <w:t>.</w:t>
      </w:r>
      <w:r w:rsidRPr="00226D61">
        <w:rPr>
          <w:rStyle w:val="-"/>
          <w:rFonts w:cs="Tahoma"/>
          <w:color w:val="595959"/>
          <w:sz w:val="18"/>
          <w:szCs w:val="18"/>
        </w:rPr>
        <w:t>admie</w:t>
      </w:r>
      <w:r w:rsidRPr="005B2D7E">
        <w:rPr>
          <w:rStyle w:val="-"/>
          <w:rFonts w:cs="Tahoma"/>
          <w:color w:val="595959"/>
          <w:sz w:val="18"/>
          <w:szCs w:val="18"/>
        </w:rPr>
        <w:t>.</w:t>
      </w:r>
      <w:r w:rsidRPr="00226D61">
        <w:rPr>
          <w:rStyle w:val="-"/>
          <w:rFonts w:cs="Tahoma"/>
          <w:color w:val="595959"/>
          <w:sz w:val="18"/>
          <w:szCs w:val="18"/>
        </w:rPr>
        <w:t>gr</w:t>
      </w:r>
    </w:hyperlink>
  </w:p>
  <w:p w14:paraId="4B69ECF6" w14:textId="77777777" w:rsidR="00AE6983" w:rsidRPr="005B2D7E" w:rsidRDefault="00AE6983" w:rsidP="00147D62">
    <w:pPr>
      <w:pStyle w:val="a9"/>
    </w:pPr>
  </w:p>
  <w:p w14:paraId="0F396DC1" w14:textId="77777777" w:rsidR="00AE6983" w:rsidRDefault="00AE69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AB7F" w14:textId="77777777" w:rsidR="00B21B85" w:rsidRDefault="00B21B85" w:rsidP="00147D62">
      <w:pPr>
        <w:spacing w:after="0" w:line="240" w:lineRule="auto"/>
      </w:pPr>
      <w:r>
        <w:separator/>
      </w:r>
    </w:p>
  </w:footnote>
  <w:footnote w:type="continuationSeparator" w:id="0">
    <w:p w14:paraId="128DEE6E" w14:textId="77777777" w:rsidR="00B21B85" w:rsidRDefault="00B21B85" w:rsidP="0014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770E" w14:textId="261C3976" w:rsidR="00AE6983" w:rsidRDefault="00AE6983">
    <w:pPr>
      <w:pStyle w:val="a8"/>
    </w:pPr>
    <w:r>
      <w:rPr>
        <w:noProof/>
        <w:lang w:eastAsia="el-GR"/>
      </w:rPr>
      <w:drawing>
        <wp:inline distT="0" distB="0" distL="0" distR="0" wp14:anchorId="5E40D2EF" wp14:editId="43476C8D">
          <wp:extent cx="1552575" cy="7334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33425"/>
                  </a:xfrm>
                  <a:prstGeom prst="rect">
                    <a:avLst/>
                  </a:prstGeom>
                  <a:noFill/>
                </pic:spPr>
              </pic:pic>
            </a:graphicData>
          </a:graphic>
        </wp:inline>
      </w:drawing>
    </w:r>
  </w:p>
  <w:p w14:paraId="33A6A394" w14:textId="77777777" w:rsidR="00AE6983" w:rsidRDefault="00AE69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36F18"/>
    <w:multiLevelType w:val="hybridMultilevel"/>
    <w:tmpl w:val="61768B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5AB22915"/>
    <w:multiLevelType w:val="hybridMultilevel"/>
    <w:tmpl w:val="A5F2BE1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5D8A39B5"/>
    <w:multiLevelType w:val="hybridMultilevel"/>
    <w:tmpl w:val="04E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C0DBC"/>
    <w:multiLevelType w:val="multilevel"/>
    <w:tmpl w:val="09F8DBEA"/>
    <w:lvl w:ilvl="0">
      <w:start w:val="1"/>
      <w:numFmt w:val="decimal"/>
      <w:lvlText w:val="%1"/>
      <w:lvlJc w:val="left"/>
      <w:pPr>
        <w:ind w:left="360" w:hanging="360"/>
      </w:pPr>
      <w:rPr>
        <w:rFonts w:asciiTheme="majorHAnsi" w:eastAsiaTheme="majorEastAsia" w:hAnsiTheme="majorHAnsi" w:cstheme="majorBidi" w:hint="default"/>
        <w:color w:val="1F4D78" w:themeColor="accent1" w:themeShade="7F"/>
        <w:sz w:val="24"/>
      </w:rPr>
    </w:lvl>
    <w:lvl w:ilvl="1">
      <w:start w:val="1"/>
      <w:numFmt w:val="decimal"/>
      <w:lvlText w:val="%1.%2"/>
      <w:lvlJc w:val="left"/>
      <w:pPr>
        <w:ind w:left="360" w:hanging="360"/>
      </w:pPr>
      <w:rPr>
        <w:rFonts w:asciiTheme="majorHAnsi" w:eastAsiaTheme="majorEastAsia" w:hAnsiTheme="majorHAnsi" w:cstheme="majorBidi" w:hint="default"/>
        <w:color w:val="1F4D78" w:themeColor="accent1" w:themeShade="7F"/>
        <w:sz w:val="24"/>
      </w:rPr>
    </w:lvl>
    <w:lvl w:ilvl="2">
      <w:start w:val="1"/>
      <w:numFmt w:val="decimal"/>
      <w:lvlText w:val="%1.%2.%3"/>
      <w:lvlJc w:val="left"/>
      <w:pPr>
        <w:ind w:left="720" w:hanging="720"/>
      </w:pPr>
      <w:rPr>
        <w:rFonts w:asciiTheme="majorHAnsi" w:eastAsiaTheme="majorEastAsia" w:hAnsiTheme="majorHAnsi" w:cstheme="majorBidi" w:hint="default"/>
        <w:color w:val="1F4D78" w:themeColor="accent1" w:themeShade="7F"/>
        <w:sz w:val="24"/>
      </w:rPr>
    </w:lvl>
    <w:lvl w:ilvl="3">
      <w:start w:val="1"/>
      <w:numFmt w:val="decimal"/>
      <w:lvlText w:val="%1.%2.%3.%4"/>
      <w:lvlJc w:val="left"/>
      <w:pPr>
        <w:ind w:left="720" w:hanging="720"/>
      </w:pPr>
      <w:rPr>
        <w:rFonts w:asciiTheme="majorHAnsi" w:eastAsiaTheme="majorEastAsia" w:hAnsiTheme="majorHAnsi" w:cstheme="majorBidi" w:hint="default"/>
        <w:color w:val="1F4D78" w:themeColor="accent1" w:themeShade="7F"/>
        <w:sz w:val="24"/>
      </w:rPr>
    </w:lvl>
    <w:lvl w:ilvl="4">
      <w:start w:val="1"/>
      <w:numFmt w:val="decimal"/>
      <w:lvlText w:val="%1.%2.%3.%4.%5"/>
      <w:lvlJc w:val="left"/>
      <w:pPr>
        <w:ind w:left="1080" w:hanging="1080"/>
      </w:pPr>
      <w:rPr>
        <w:rFonts w:asciiTheme="majorHAnsi" w:eastAsiaTheme="majorEastAsia" w:hAnsiTheme="majorHAnsi" w:cstheme="majorBidi" w:hint="default"/>
        <w:color w:val="1F4D78" w:themeColor="accent1" w:themeShade="7F"/>
        <w:sz w:val="24"/>
      </w:rPr>
    </w:lvl>
    <w:lvl w:ilvl="5">
      <w:start w:val="1"/>
      <w:numFmt w:val="decimal"/>
      <w:lvlText w:val="%1.%2.%3.%4.%5.%6"/>
      <w:lvlJc w:val="left"/>
      <w:pPr>
        <w:ind w:left="1080" w:hanging="1080"/>
      </w:pPr>
      <w:rPr>
        <w:rFonts w:asciiTheme="majorHAnsi" w:eastAsiaTheme="majorEastAsia" w:hAnsiTheme="majorHAnsi" w:cstheme="majorBidi" w:hint="default"/>
        <w:color w:val="1F4D78" w:themeColor="accent1" w:themeShade="7F"/>
        <w:sz w:val="24"/>
      </w:rPr>
    </w:lvl>
    <w:lvl w:ilvl="6">
      <w:start w:val="1"/>
      <w:numFmt w:val="decimal"/>
      <w:lvlText w:val="%1.%2.%3.%4.%5.%6.%7"/>
      <w:lvlJc w:val="left"/>
      <w:pPr>
        <w:ind w:left="1440" w:hanging="1440"/>
      </w:pPr>
      <w:rPr>
        <w:rFonts w:asciiTheme="majorHAnsi" w:eastAsiaTheme="majorEastAsia" w:hAnsiTheme="majorHAnsi" w:cstheme="majorBidi" w:hint="default"/>
        <w:color w:val="1F4D78" w:themeColor="accent1" w:themeShade="7F"/>
        <w:sz w:val="24"/>
      </w:rPr>
    </w:lvl>
    <w:lvl w:ilvl="7">
      <w:start w:val="1"/>
      <w:numFmt w:val="decimal"/>
      <w:lvlText w:val="%1.%2.%3.%4.%5.%6.%7.%8"/>
      <w:lvlJc w:val="left"/>
      <w:pPr>
        <w:ind w:left="1440" w:hanging="1440"/>
      </w:pPr>
      <w:rPr>
        <w:rFonts w:asciiTheme="majorHAnsi" w:eastAsiaTheme="majorEastAsia" w:hAnsiTheme="majorHAnsi" w:cstheme="majorBidi" w:hint="default"/>
        <w:color w:val="1F4D78" w:themeColor="accent1" w:themeShade="7F"/>
        <w:sz w:val="24"/>
      </w:rPr>
    </w:lvl>
    <w:lvl w:ilvl="8">
      <w:start w:val="1"/>
      <w:numFmt w:val="decimal"/>
      <w:lvlText w:val="%1.%2.%3.%4.%5.%6.%7.%8.%9"/>
      <w:lvlJc w:val="left"/>
      <w:pPr>
        <w:ind w:left="1440" w:hanging="1440"/>
      </w:pPr>
      <w:rPr>
        <w:rFonts w:asciiTheme="majorHAnsi" w:eastAsiaTheme="majorEastAsia" w:hAnsiTheme="majorHAnsi" w:cstheme="majorBidi" w:hint="default"/>
        <w:color w:val="1F4D78" w:themeColor="accent1" w:themeShade="7F"/>
        <w:sz w:val="24"/>
      </w:rPr>
    </w:lvl>
  </w:abstractNum>
  <w:abstractNum w:abstractNumId="4" w15:restartNumberingAfterBreak="0">
    <w:nsid w:val="709677FC"/>
    <w:multiLevelType w:val="hybridMultilevel"/>
    <w:tmpl w:val="9E8CE9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47"/>
    <w:rsid w:val="00000D06"/>
    <w:rsid w:val="00000F92"/>
    <w:rsid w:val="000027B6"/>
    <w:rsid w:val="00003848"/>
    <w:rsid w:val="0000660E"/>
    <w:rsid w:val="000100C9"/>
    <w:rsid w:val="0001570A"/>
    <w:rsid w:val="000302AE"/>
    <w:rsid w:val="00042D24"/>
    <w:rsid w:val="00044B70"/>
    <w:rsid w:val="000467D9"/>
    <w:rsid w:val="000508E8"/>
    <w:rsid w:val="00051FEB"/>
    <w:rsid w:val="00055761"/>
    <w:rsid w:val="0006365D"/>
    <w:rsid w:val="000767D4"/>
    <w:rsid w:val="00080DCB"/>
    <w:rsid w:val="0008697D"/>
    <w:rsid w:val="0009033A"/>
    <w:rsid w:val="0009104E"/>
    <w:rsid w:val="0009424C"/>
    <w:rsid w:val="000952EE"/>
    <w:rsid w:val="00097A11"/>
    <w:rsid w:val="000A6B00"/>
    <w:rsid w:val="000B3816"/>
    <w:rsid w:val="000C0E91"/>
    <w:rsid w:val="000C531E"/>
    <w:rsid w:val="000C6005"/>
    <w:rsid w:val="000C79CF"/>
    <w:rsid w:val="000D3202"/>
    <w:rsid w:val="000D40D0"/>
    <w:rsid w:val="000D4B69"/>
    <w:rsid w:val="000E0ED1"/>
    <w:rsid w:val="000E1610"/>
    <w:rsid w:val="000E73B7"/>
    <w:rsid w:val="000F50E8"/>
    <w:rsid w:val="000F6332"/>
    <w:rsid w:val="00101026"/>
    <w:rsid w:val="0010636E"/>
    <w:rsid w:val="00106404"/>
    <w:rsid w:val="001256BF"/>
    <w:rsid w:val="00125E5B"/>
    <w:rsid w:val="00131C97"/>
    <w:rsid w:val="00131EB9"/>
    <w:rsid w:val="0013452D"/>
    <w:rsid w:val="001367AC"/>
    <w:rsid w:val="00145024"/>
    <w:rsid w:val="00147C48"/>
    <w:rsid w:val="00147D62"/>
    <w:rsid w:val="00153486"/>
    <w:rsid w:val="0015429C"/>
    <w:rsid w:val="00155427"/>
    <w:rsid w:val="0015583C"/>
    <w:rsid w:val="00171674"/>
    <w:rsid w:val="00177AD7"/>
    <w:rsid w:val="00183ECA"/>
    <w:rsid w:val="00186B90"/>
    <w:rsid w:val="0019609F"/>
    <w:rsid w:val="00197507"/>
    <w:rsid w:val="001A298B"/>
    <w:rsid w:val="001C0116"/>
    <w:rsid w:val="001C3B67"/>
    <w:rsid w:val="001D1788"/>
    <w:rsid w:val="001D1E49"/>
    <w:rsid w:val="001E7201"/>
    <w:rsid w:val="001F3565"/>
    <w:rsid w:val="001F7671"/>
    <w:rsid w:val="0020634E"/>
    <w:rsid w:val="002144F2"/>
    <w:rsid w:val="00223E45"/>
    <w:rsid w:val="00236E4A"/>
    <w:rsid w:val="00243422"/>
    <w:rsid w:val="00243EF1"/>
    <w:rsid w:val="00244D22"/>
    <w:rsid w:val="00247EE3"/>
    <w:rsid w:val="0025406B"/>
    <w:rsid w:val="002603AB"/>
    <w:rsid w:val="00284F2A"/>
    <w:rsid w:val="00285C39"/>
    <w:rsid w:val="00291177"/>
    <w:rsid w:val="002A4665"/>
    <w:rsid w:val="002B050D"/>
    <w:rsid w:val="002B47EA"/>
    <w:rsid w:val="002C256A"/>
    <w:rsid w:val="002C4A75"/>
    <w:rsid w:val="002C5332"/>
    <w:rsid w:val="002C5493"/>
    <w:rsid w:val="002D069C"/>
    <w:rsid w:val="002D25C2"/>
    <w:rsid w:val="002E22E8"/>
    <w:rsid w:val="002F2864"/>
    <w:rsid w:val="002F3718"/>
    <w:rsid w:val="002F3E4D"/>
    <w:rsid w:val="002F4879"/>
    <w:rsid w:val="002F69F4"/>
    <w:rsid w:val="003045FC"/>
    <w:rsid w:val="00306645"/>
    <w:rsid w:val="00311088"/>
    <w:rsid w:val="00317305"/>
    <w:rsid w:val="00326C11"/>
    <w:rsid w:val="0033385A"/>
    <w:rsid w:val="00336447"/>
    <w:rsid w:val="00341C10"/>
    <w:rsid w:val="00342584"/>
    <w:rsid w:val="0035444A"/>
    <w:rsid w:val="00356B73"/>
    <w:rsid w:val="00361BF3"/>
    <w:rsid w:val="00364407"/>
    <w:rsid w:val="003658D9"/>
    <w:rsid w:val="00386912"/>
    <w:rsid w:val="0039687F"/>
    <w:rsid w:val="00397D11"/>
    <w:rsid w:val="00397D6E"/>
    <w:rsid w:val="003A376B"/>
    <w:rsid w:val="003A3BC1"/>
    <w:rsid w:val="003A5BD9"/>
    <w:rsid w:val="003B09B6"/>
    <w:rsid w:val="003B3774"/>
    <w:rsid w:val="003C3132"/>
    <w:rsid w:val="003C4EE1"/>
    <w:rsid w:val="003C626E"/>
    <w:rsid w:val="003C7C00"/>
    <w:rsid w:val="003D2ECD"/>
    <w:rsid w:val="003D2EDE"/>
    <w:rsid w:val="003D35A9"/>
    <w:rsid w:val="003E31B7"/>
    <w:rsid w:val="003E3D7A"/>
    <w:rsid w:val="003F5EE5"/>
    <w:rsid w:val="003F78A6"/>
    <w:rsid w:val="00411E30"/>
    <w:rsid w:val="00431A91"/>
    <w:rsid w:val="0043378D"/>
    <w:rsid w:val="004434A9"/>
    <w:rsid w:val="0046681D"/>
    <w:rsid w:val="004836BE"/>
    <w:rsid w:val="004845AA"/>
    <w:rsid w:val="0049221B"/>
    <w:rsid w:val="004A2D42"/>
    <w:rsid w:val="004A6FA9"/>
    <w:rsid w:val="004B2276"/>
    <w:rsid w:val="004D360F"/>
    <w:rsid w:val="004D5560"/>
    <w:rsid w:val="004D7047"/>
    <w:rsid w:val="004E6E71"/>
    <w:rsid w:val="004F4829"/>
    <w:rsid w:val="004F7721"/>
    <w:rsid w:val="00502EA4"/>
    <w:rsid w:val="00504517"/>
    <w:rsid w:val="00510D74"/>
    <w:rsid w:val="0053238A"/>
    <w:rsid w:val="005334A0"/>
    <w:rsid w:val="005411E3"/>
    <w:rsid w:val="005457BC"/>
    <w:rsid w:val="005461F9"/>
    <w:rsid w:val="005473EE"/>
    <w:rsid w:val="005507A7"/>
    <w:rsid w:val="00551172"/>
    <w:rsid w:val="0055296E"/>
    <w:rsid w:val="005605F6"/>
    <w:rsid w:val="005615A3"/>
    <w:rsid w:val="005638AA"/>
    <w:rsid w:val="005654EE"/>
    <w:rsid w:val="00567250"/>
    <w:rsid w:val="00574C0C"/>
    <w:rsid w:val="005774D6"/>
    <w:rsid w:val="00582008"/>
    <w:rsid w:val="005841E6"/>
    <w:rsid w:val="00590E50"/>
    <w:rsid w:val="005935C5"/>
    <w:rsid w:val="00593A8F"/>
    <w:rsid w:val="005C086B"/>
    <w:rsid w:val="005D08B1"/>
    <w:rsid w:val="005D685E"/>
    <w:rsid w:val="005E194B"/>
    <w:rsid w:val="005E4514"/>
    <w:rsid w:val="005E48BE"/>
    <w:rsid w:val="005E5B11"/>
    <w:rsid w:val="005E6D5A"/>
    <w:rsid w:val="005F13AF"/>
    <w:rsid w:val="005F34CF"/>
    <w:rsid w:val="005F3B1E"/>
    <w:rsid w:val="005F4B89"/>
    <w:rsid w:val="005F4BA1"/>
    <w:rsid w:val="00604A53"/>
    <w:rsid w:val="00604D8F"/>
    <w:rsid w:val="00604FCA"/>
    <w:rsid w:val="00604FFB"/>
    <w:rsid w:val="0061362C"/>
    <w:rsid w:val="00634FC0"/>
    <w:rsid w:val="00647A28"/>
    <w:rsid w:val="00654B03"/>
    <w:rsid w:val="00665CA5"/>
    <w:rsid w:val="00673A9E"/>
    <w:rsid w:val="00674D57"/>
    <w:rsid w:val="0068016C"/>
    <w:rsid w:val="006942E2"/>
    <w:rsid w:val="00694C82"/>
    <w:rsid w:val="0069600A"/>
    <w:rsid w:val="006A7C16"/>
    <w:rsid w:val="006B13DC"/>
    <w:rsid w:val="006B344F"/>
    <w:rsid w:val="006B7567"/>
    <w:rsid w:val="006C3857"/>
    <w:rsid w:val="006C3A1A"/>
    <w:rsid w:val="006E52E0"/>
    <w:rsid w:val="006E6F38"/>
    <w:rsid w:val="006F0997"/>
    <w:rsid w:val="006F34BB"/>
    <w:rsid w:val="006F58A6"/>
    <w:rsid w:val="00700EF0"/>
    <w:rsid w:val="00706B72"/>
    <w:rsid w:val="00715061"/>
    <w:rsid w:val="007175F5"/>
    <w:rsid w:val="00722066"/>
    <w:rsid w:val="00722A37"/>
    <w:rsid w:val="00725135"/>
    <w:rsid w:val="00725459"/>
    <w:rsid w:val="00725EC8"/>
    <w:rsid w:val="00733B8D"/>
    <w:rsid w:val="00736E2B"/>
    <w:rsid w:val="00742911"/>
    <w:rsid w:val="00753BC8"/>
    <w:rsid w:val="00762540"/>
    <w:rsid w:val="007716C9"/>
    <w:rsid w:val="00772B1C"/>
    <w:rsid w:val="007744C5"/>
    <w:rsid w:val="00780706"/>
    <w:rsid w:val="00783D02"/>
    <w:rsid w:val="00783EA9"/>
    <w:rsid w:val="0079513A"/>
    <w:rsid w:val="007A1A7A"/>
    <w:rsid w:val="007A34DE"/>
    <w:rsid w:val="007A596B"/>
    <w:rsid w:val="007A73BA"/>
    <w:rsid w:val="007D70DB"/>
    <w:rsid w:val="007E035F"/>
    <w:rsid w:val="007E3490"/>
    <w:rsid w:val="007E4C3F"/>
    <w:rsid w:val="007E6708"/>
    <w:rsid w:val="007F5BA6"/>
    <w:rsid w:val="00810962"/>
    <w:rsid w:val="008114CC"/>
    <w:rsid w:val="00813F9A"/>
    <w:rsid w:val="008179D1"/>
    <w:rsid w:val="008229CD"/>
    <w:rsid w:val="008236F9"/>
    <w:rsid w:val="00826151"/>
    <w:rsid w:val="008316E7"/>
    <w:rsid w:val="00833C9D"/>
    <w:rsid w:val="00837042"/>
    <w:rsid w:val="00840709"/>
    <w:rsid w:val="00842217"/>
    <w:rsid w:val="008462D6"/>
    <w:rsid w:val="00854858"/>
    <w:rsid w:val="00860827"/>
    <w:rsid w:val="00870907"/>
    <w:rsid w:val="008736B6"/>
    <w:rsid w:val="00883BCF"/>
    <w:rsid w:val="00892811"/>
    <w:rsid w:val="00897C70"/>
    <w:rsid w:val="008B2073"/>
    <w:rsid w:val="008C0CE1"/>
    <w:rsid w:val="008E077D"/>
    <w:rsid w:val="008E0DDB"/>
    <w:rsid w:val="008E1A72"/>
    <w:rsid w:val="008F3909"/>
    <w:rsid w:val="00904CE7"/>
    <w:rsid w:val="00905184"/>
    <w:rsid w:val="009076B9"/>
    <w:rsid w:val="00907F61"/>
    <w:rsid w:val="00910E05"/>
    <w:rsid w:val="00910E9E"/>
    <w:rsid w:val="00917FF7"/>
    <w:rsid w:val="00925476"/>
    <w:rsid w:val="009259B6"/>
    <w:rsid w:val="009276D9"/>
    <w:rsid w:val="00932BE6"/>
    <w:rsid w:val="009337C9"/>
    <w:rsid w:val="0093579F"/>
    <w:rsid w:val="00940D15"/>
    <w:rsid w:val="0094455A"/>
    <w:rsid w:val="00950D34"/>
    <w:rsid w:val="009526A1"/>
    <w:rsid w:val="00954D12"/>
    <w:rsid w:val="00962DA1"/>
    <w:rsid w:val="00964C77"/>
    <w:rsid w:val="009665E7"/>
    <w:rsid w:val="0096710E"/>
    <w:rsid w:val="00971B7A"/>
    <w:rsid w:val="00981232"/>
    <w:rsid w:val="00983827"/>
    <w:rsid w:val="0099055D"/>
    <w:rsid w:val="0099190F"/>
    <w:rsid w:val="00992F50"/>
    <w:rsid w:val="009952F2"/>
    <w:rsid w:val="009968A2"/>
    <w:rsid w:val="009A0F8C"/>
    <w:rsid w:val="009A1ED1"/>
    <w:rsid w:val="009A6C1E"/>
    <w:rsid w:val="009B45B8"/>
    <w:rsid w:val="009B51B7"/>
    <w:rsid w:val="009B6D64"/>
    <w:rsid w:val="009B6F17"/>
    <w:rsid w:val="009D15EE"/>
    <w:rsid w:val="009D1627"/>
    <w:rsid w:val="009E0297"/>
    <w:rsid w:val="009E3E3F"/>
    <w:rsid w:val="009F7E9A"/>
    <w:rsid w:val="00A06768"/>
    <w:rsid w:val="00A069B2"/>
    <w:rsid w:val="00A12D80"/>
    <w:rsid w:val="00A168D7"/>
    <w:rsid w:val="00A2079A"/>
    <w:rsid w:val="00A4190F"/>
    <w:rsid w:val="00A42BB0"/>
    <w:rsid w:val="00A432B5"/>
    <w:rsid w:val="00A60229"/>
    <w:rsid w:val="00A6205F"/>
    <w:rsid w:val="00A710B6"/>
    <w:rsid w:val="00A72536"/>
    <w:rsid w:val="00A73D5B"/>
    <w:rsid w:val="00A74470"/>
    <w:rsid w:val="00A775CD"/>
    <w:rsid w:val="00A81F72"/>
    <w:rsid w:val="00A8285B"/>
    <w:rsid w:val="00A90614"/>
    <w:rsid w:val="00A9135A"/>
    <w:rsid w:val="00AA1A55"/>
    <w:rsid w:val="00AB5F10"/>
    <w:rsid w:val="00AC2F5E"/>
    <w:rsid w:val="00AC4FB2"/>
    <w:rsid w:val="00AC6A92"/>
    <w:rsid w:val="00AD0939"/>
    <w:rsid w:val="00AE176F"/>
    <w:rsid w:val="00AE6983"/>
    <w:rsid w:val="00AF365F"/>
    <w:rsid w:val="00AF5070"/>
    <w:rsid w:val="00AF58EA"/>
    <w:rsid w:val="00B01AA1"/>
    <w:rsid w:val="00B21B85"/>
    <w:rsid w:val="00B256DC"/>
    <w:rsid w:val="00B33183"/>
    <w:rsid w:val="00B33DA8"/>
    <w:rsid w:val="00B35478"/>
    <w:rsid w:val="00B421BA"/>
    <w:rsid w:val="00B4328E"/>
    <w:rsid w:val="00B454DE"/>
    <w:rsid w:val="00B478D8"/>
    <w:rsid w:val="00B5297C"/>
    <w:rsid w:val="00B55727"/>
    <w:rsid w:val="00B74448"/>
    <w:rsid w:val="00B7605B"/>
    <w:rsid w:val="00B8773F"/>
    <w:rsid w:val="00B87EC3"/>
    <w:rsid w:val="00B90BBE"/>
    <w:rsid w:val="00B921C7"/>
    <w:rsid w:val="00B94C91"/>
    <w:rsid w:val="00BA23F9"/>
    <w:rsid w:val="00BB7DB7"/>
    <w:rsid w:val="00BE1147"/>
    <w:rsid w:val="00BE5366"/>
    <w:rsid w:val="00BF1D4A"/>
    <w:rsid w:val="00BF284F"/>
    <w:rsid w:val="00C01FA1"/>
    <w:rsid w:val="00C03169"/>
    <w:rsid w:val="00C0449A"/>
    <w:rsid w:val="00C054F5"/>
    <w:rsid w:val="00C06FAC"/>
    <w:rsid w:val="00C1426E"/>
    <w:rsid w:val="00C23429"/>
    <w:rsid w:val="00C2717B"/>
    <w:rsid w:val="00C27DED"/>
    <w:rsid w:val="00C3228A"/>
    <w:rsid w:val="00C32296"/>
    <w:rsid w:val="00C343FA"/>
    <w:rsid w:val="00C34990"/>
    <w:rsid w:val="00C34D9A"/>
    <w:rsid w:val="00C4068B"/>
    <w:rsid w:val="00C44E0D"/>
    <w:rsid w:val="00C72AB0"/>
    <w:rsid w:val="00C73210"/>
    <w:rsid w:val="00C84BB9"/>
    <w:rsid w:val="00C90C93"/>
    <w:rsid w:val="00C93066"/>
    <w:rsid w:val="00C934E5"/>
    <w:rsid w:val="00C96447"/>
    <w:rsid w:val="00CA367F"/>
    <w:rsid w:val="00CA3E39"/>
    <w:rsid w:val="00CA5D06"/>
    <w:rsid w:val="00CB33A3"/>
    <w:rsid w:val="00CD3F55"/>
    <w:rsid w:val="00CE2CE6"/>
    <w:rsid w:val="00CE3398"/>
    <w:rsid w:val="00CF0D69"/>
    <w:rsid w:val="00CF15E2"/>
    <w:rsid w:val="00CF54E5"/>
    <w:rsid w:val="00D002C1"/>
    <w:rsid w:val="00D01594"/>
    <w:rsid w:val="00D074F8"/>
    <w:rsid w:val="00D21FF6"/>
    <w:rsid w:val="00D2341D"/>
    <w:rsid w:val="00D248DC"/>
    <w:rsid w:val="00D25E98"/>
    <w:rsid w:val="00D40437"/>
    <w:rsid w:val="00D42023"/>
    <w:rsid w:val="00D42BA4"/>
    <w:rsid w:val="00D608D0"/>
    <w:rsid w:val="00D6716F"/>
    <w:rsid w:val="00D946D8"/>
    <w:rsid w:val="00DA3637"/>
    <w:rsid w:val="00DC6889"/>
    <w:rsid w:val="00DE0B42"/>
    <w:rsid w:val="00DF36A3"/>
    <w:rsid w:val="00E02E88"/>
    <w:rsid w:val="00E06B34"/>
    <w:rsid w:val="00E134CB"/>
    <w:rsid w:val="00E13BBA"/>
    <w:rsid w:val="00E146EB"/>
    <w:rsid w:val="00E2786F"/>
    <w:rsid w:val="00E35540"/>
    <w:rsid w:val="00E37168"/>
    <w:rsid w:val="00E51503"/>
    <w:rsid w:val="00E521C6"/>
    <w:rsid w:val="00E52FFB"/>
    <w:rsid w:val="00E62B3D"/>
    <w:rsid w:val="00E7077C"/>
    <w:rsid w:val="00E715CF"/>
    <w:rsid w:val="00E77355"/>
    <w:rsid w:val="00E81BA2"/>
    <w:rsid w:val="00E867F6"/>
    <w:rsid w:val="00E96D69"/>
    <w:rsid w:val="00EA0963"/>
    <w:rsid w:val="00EA1706"/>
    <w:rsid w:val="00EA2389"/>
    <w:rsid w:val="00EA52FB"/>
    <w:rsid w:val="00EA6598"/>
    <w:rsid w:val="00EB0B41"/>
    <w:rsid w:val="00EB6772"/>
    <w:rsid w:val="00EC2CE9"/>
    <w:rsid w:val="00ED29B8"/>
    <w:rsid w:val="00EE3632"/>
    <w:rsid w:val="00F15E0E"/>
    <w:rsid w:val="00F21260"/>
    <w:rsid w:val="00F26F93"/>
    <w:rsid w:val="00F47EEC"/>
    <w:rsid w:val="00F51C5C"/>
    <w:rsid w:val="00F55C2F"/>
    <w:rsid w:val="00F56CA0"/>
    <w:rsid w:val="00F56E60"/>
    <w:rsid w:val="00F61B3A"/>
    <w:rsid w:val="00F63C18"/>
    <w:rsid w:val="00F655F2"/>
    <w:rsid w:val="00F66EDE"/>
    <w:rsid w:val="00F67C19"/>
    <w:rsid w:val="00F708B1"/>
    <w:rsid w:val="00F71F13"/>
    <w:rsid w:val="00F764AD"/>
    <w:rsid w:val="00F818BD"/>
    <w:rsid w:val="00F82324"/>
    <w:rsid w:val="00F86DE1"/>
    <w:rsid w:val="00F9292E"/>
    <w:rsid w:val="00F9513C"/>
    <w:rsid w:val="00F956BA"/>
    <w:rsid w:val="00F961F3"/>
    <w:rsid w:val="00FA2D53"/>
    <w:rsid w:val="00FA38FF"/>
    <w:rsid w:val="00FB2EC6"/>
    <w:rsid w:val="00FB5D06"/>
    <w:rsid w:val="00FB5D24"/>
    <w:rsid w:val="00FC1F82"/>
    <w:rsid w:val="00FC3CAA"/>
    <w:rsid w:val="00FC5FB5"/>
    <w:rsid w:val="00FD5139"/>
    <w:rsid w:val="00FD5273"/>
    <w:rsid w:val="00FD56E6"/>
    <w:rsid w:val="00FE6776"/>
    <w:rsid w:val="00FF078A"/>
    <w:rsid w:val="00FF4B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E38B"/>
  <w15:chartTrackingRefBased/>
  <w15:docId w15:val="{38215D15-C40A-42AA-AA0F-3CAD6F5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D62"/>
    <w:rPr>
      <w:rFonts w:ascii="Tahoma" w:hAnsi="Tahoma"/>
    </w:rPr>
  </w:style>
  <w:style w:type="paragraph" w:styleId="1">
    <w:name w:val="heading 1"/>
    <w:basedOn w:val="a"/>
    <w:next w:val="a"/>
    <w:link w:val="1Char"/>
    <w:uiPriority w:val="9"/>
    <w:qFormat/>
    <w:rsid w:val="000C79CF"/>
    <w:pPr>
      <w:keepNext/>
      <w:keepLines/>
      <w:spacing w:before="240" w:after="0"/>
      <w:outlineLvl w:val="0"/>
    </w:pPr>
    <w:rPr>
      <w:rFonts w:eastAsiaTheme="majorEastAsia" w:cstheme="majorBidi"/>
      <w:sz w:val="32"/>
      <w:szCs w:val="32"/>
    </w:rPr>
  </w:style>
  <w:style w:type="paragraph" w:styleId="2">
    <w:name w:val="heading 2"/>
    <w:basedOn w:val="a"/>
    <w:next w:val="a"/>
    <w:link w:val="2Char"/>
    <w:uiPriority w:val="9"/>
    <w:unhideWhenUsed/>
    <w:qFormat/>
    <w:rsid w:val="00147D62"/>
    <w:pPr>
      <w:keepNext/>
      <w:keepLines/>
      <w:spacing w:before="40" w:after="0"/>
      <w:jc w:val="center"/>
      <w:outlineLvl w:val="1"/>
    </w:pPr>
    <w:rPr>
      <w:rFonts w:eastAsiaTheme="majorEastAsia" w:cstheme="majorBidi"/>
      <w:color w:val="2E74B5" w:themeColor="accent1" w:themeShade="BF"/>
      <w:sz w:val="26"/>
      <w:szCs w:val="26"/>
    </w:rPr>
  </w:style>
  <w:style w:type="paragraph" w:styleId="3">
    <w:name w:val="heading 3"/>
    <w:basedOn w:val="a"/>
    <w:next w:val="a"/>
    <w:link w:val="3Char"/>
    <w:uiPriority w:val="9"/>
    <w:unhideWhenUsed/>
    <w:qFormat/>
    <w:rsid w:val="008179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79CF"/>
    <w:rPr>
      <w:rFonts w:ascii="Tahoma" w:eastAsiaTheme="majorEastAsia" w:hAnsi="Tahoma" w:cstheme="majorBidi"/>
      <w:sz w:val="32"/>
      <w:szCs w:val="32"/>
    </w:rPr>
  </w:style>
  <w:style w:type="paragraph" w:styleId="a3">
    <w:name w:val="List Paragraph"/>
    <w:basedOn w:val="a"/>
    <w:uiPriority w:val="34"/>
    <w:qFormat/>
    <w:rsid w:val="003C4EE1"/>
    <w:pPr>
      <w:ind w:left="720"/>
      <w:contextualSpacing/>
    </w:pPr>
  </w:style>
  <w:style w:type="character" w:customStyle="1" w:styleId="2Char">
    <w:name w:val="Επικεφαλίδα 2 Char"/>
    <w:basedOn w:val="a0"/>
    <w:link w:val="2"/>
    <w:uiPriority w:val="9"/>
    <w:rsid w:val="00147D62"/>
    <w:rPr>
      <w:rFonts w:ascii="Tahoma" w:eastAsiaTheme="majorEastAsia" w:hAnsi="Tahoma" w:cstheme="majorBidi"/>
      <w:color w:val="2E74B5" w:themeColor="accent1" w:themeShade="BF"/>
      <w:sz w:val="26"/>
      <w:szCs w:val="26"/>
    </w:rPr>
  </w:style>
  <w:style w:type="character" w:customStyle="1" w:styleId="3Char">
    <w:name w:val="Επικεφαλίδα 3 Char"/>
    <w:basedOn w:val="a0"/>
    <w:link w:val="3"/>
    <w:uiPriority w:val="9"/>
    <w:rsid w:val="008179D1"/>
    <w:rPr>
      <w:rFonts w:asciiTheme="majorHAnsi" w:eastAsiaTheme="majorEastAsia" w:hAnsiTheme="majorHAnsi" w:cstheme="majorBidi"/>
      <w:color w:val="1F4D78" w:themeColor="accent1" w:themeShade="7F"/>
      <w:sz w:val="24"/>
      <w:szCs w:val="24"/>
    </w:rPr>
  </w:style>
  <w:style w:type="character" w:styleId="a4">
    <w:name w:val="annotation reference"/>
    <w:basedOn w:val="a0"/>
    <w:uiPriority w:val="99"/>
    <w:semiHidden/>
    <w:unhideWhenUsed/>
    <w:rsid w:val="00C90C93"/>
    <w:rPr>
      <w:sz w:val="16"/>
      <w:szCs w:val="16"/>
    </w:rPr>
  </w:style>
  <w:style w:type="paragraph" w:styleId="a5">
    <w:name w:val="annotation text"/>
    <w:basedOn w:val="a"/>
    <w:link w:val="Char"/>
    <w:uiPriority w:val="99"/>
    <w:semiHidden/>
    <w:unhideWhenUsed/>
    <w:rsid w:val="00C90C93"/>
    <w:pPr>
      <w:spacing w:line="240" w:lineRule="auto"/>
    </w:pPr>
    <w:rPr>
      <w:sz w:val="20"/>
      <w:szCs w:val="20"/>
    </w:rPr>
  </w:style>
  <w:style w:type="character" w:customStyle="1" w:styleId="Char">
    <w:name w:val="Κείμενο σχολίου Char"/>
    <w:basedOn w:val="a0"/>
    <w:link w:val="a5"/>
    <w:uiPriority w:val="99"/>
    <w:semiHidden/>
    <w:rsid w:val="00C90C93"/>
    <w:rPr>
      <w:sz w:val="20"/>
      <w:szCs w:val="20"/>
    </w:rPr>
  </w:style>
  <w:style w:type="paragraph" w:styleId="a6">
    <w:name w:val="annotation subject"/>
    <w:basedOn w:val="a5"/>
    <w:next w:val="a5"/>
    <w:link w:val="Char0"/>
    <w:uiPriority w:val="99"/>
    <w:semiHidden/>
    <w:unhideWhenUsed/>
    <w:rsid w:val="00C90C93"/>
    <w:rPr>
      <w:b/>
      <w:bCs/>
    </w:rPr>
  </w:style>
  <w:style w:type="character" w:customStyle="1" w:styleId="Char0">
    <w:name w:val="Θέμα σχολίου Char"/>
    <w:basedOn w:val="Char"/>
    <w:link w:val="a6"/>
    <w:uiPriority w:val="99"/>
    <w:semiHidden/>
    <w:rsid w:val="00C90C93"/>
    <w:rPr>
      <w:b/>
      <w:bCs/>
      <w:sz w:val="20"/>
      <w:szCs w:val="20"/>
    </w:rPr>
  </w:style>
  <w:style w:type="paragraph" w:styleId="a7">
    <w:name w:val="Balloon Text"/>
    <w:basedOn w:val="a"/>
    <w:link w:val="Char1"/>
    <w:uiPriority w:val="99"/>
    <w:semiHidden/>
    <w:unhideWhenUsed/>
    <w:rsid w:val="00C90C93"/>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90C93"/>
    <w:rPr>
      <w:rFonts w:ascii="Segoe UI" w:hAnsi="Segoe UI" w:cs="Segoe UI"/>
      <w:sz w:val="18"/>
      <w:szCs w:val="18"/>
    </w:rPr>
  </w:style>
  <w:style w:type="paragraph" w:styleId="a8">
    <w:name w:val="header"/>
    <w:basedOn w:val="a"/>
    <w:link w:val="Char2"/>
    <w:uiPriority w:val="99"/>
    <w:unhideWhenUsed/>
    <w:rsid w:val="00147D62"/>
    <w:pPr>
      <w:tabs>
        <w:tab w:val="center" w:pos="4680"/>
        <w:tab w:val="right" w:pos="9360"/>
      </w:tabs>
      <w:spacing w:after="0" w:line="240" w:lineRule="auto"/>
    </w:pPr>
  </w:style>
  <w:style w:type="character" w:customStyle="1" w:styleId="Char2">
    <w:name w:val="Κεφαλίδα Char"/>
    <w:basedOn w:val="a0"/>
    <w:link w:val="a8"/>
    <w:uiPriority w:val="99"/>
    <w:rsid w:val="00147D62"/>
  </w:style>
  <w:style w:type="paragraph" w:styleId="a9">
    <w:name w:val="footer"/>
    <w:basedOn w:val="a"/>
    <w:link w:val="Char3"/>
    <w:uiPriority w:val="99"/>
    <w:unhideWhenUsed/>
    <w:rsid w:val="00147D62"/>
    <w:pPr>
      <w:tabs>
        <w:tab w:val="center" w:pos="4680"/>
        <w:tab w:val="right" w:pos="9360"/>
      </w:tabs>
      <w:spacing w:after="0" w:line="240" w:lineRule="auto"/>
    </w:pPr>
  </w:style>
  <w:style w:type="character" w:customStyle="1" w:styleId="Char3">
    <w:name w:val="Υποσέλιδο Char"/>
    <w:basedOn w:val="a0"/>
    <w:link w:val="a9"/>
    <w:uiPriority w:val="99"/>
    <w:rsid w:val="00147D62"/>
  </w:style>
  <w:style w:type="character" w:styleId="-">
    <w:name w:val="Hyperlink"/>
    <w:uiPriority w:val="99"/>
    <w:unhideWhenUsed/>
    <w:rsid w:val="00147D62"/>
    <w:rPr>
      <w:color w:val="0000FF"/>
      <w:u w:val="single"/>
    </w:rPr>
  </w:style>
  <w:style w:type="paragraph" w:styleId="aa">
    <w:name w:val="TOC Heading"/>
    <w:basedOn w:val="1"/>
    <w:next w:val="a"/>
    <w:uiPriority w:val="39"/>
    <w:unhideWhenUsed/>
    <w:qFormat/>
    <w:rsid w:val="00EC2CE9"/>
    <w:pPr>
      <w:outlineLvl w:val="9"/>
    </w:pPr>
    <w:rPr>
      <w:rFonts w:asciiTheme="majorHAnsi" w:hAnsiTheme="majorHAnsi"/>
      <w:color w:val="2E74B5" w:themeColor="accent1" w:themeShade="BF"/>
      <w:lang w:eastAsia="el-GR"/>
    </w:rPr>
  </w:style>
  <w:style w:type="paragraph" w:styleId="10">
    <w:name w:val="toc 1"/>
    <w:basedOn w:val="a"/>
    <w:next w:val="a"/>
    <w:autoRedefine/>
    <w:uiPriority w:val="39"/>
    <w:unhideWhenUsed/>
    <w:rsid w:val="00EC2CE9"/>
    <w:pPr>
      <w:spacing w:after="100"/>
    </w:pPr>
  </w:style>
  <w:style w:type="paragraph" w:styleId="20">
    <w:name w:val="toc 2"/>
    <w:basedOn w:val="a"/>
    <w:next w:val="a"/>
    <w:autoRedefine/>
    <w:uiPriority w:val="39"/>
    <w:unhideWhenUsed/>
    <w:rsid w:val="00EC2CE9"/>
    <w:pPr>
      <w:spacing w:after="100"/>
      <w:ind w:left="220"/>
    </w:pPr>
  </w:style>
  <w:style w:type="table" w:styleId="ab">
    <w:name w:val="Table Grid"/>
    <w:basedOn w:val="a1"/>
    <w:uiPriority w:val="59"/>
    <w:rsid w:val="00EC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mi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9FA5C6A-8369-490A-A1C4-D30B5A7B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2423</Words>
  <Characters>13085</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Μανδουλίδης Παναγιώτης</dc:creator>
  <cp:keywords/>
  <dc:description/>
  <cp:lastModifiedBy>Μανδουλίδης Παναγιώτης</cp:lastModifiedBy>
  <cp:revision>32</cp:revision>
  <dcterms:created xsi:type="dcterms:W3CDTF">2020-08-26T06:57:00Z</dcterms:created>
  <dcterms:modified xsi:type="dcterms:W3CDTF">2020-09-16T06:50:00Z</dcterms:modified>
</cp:coreProperties>
</file>